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6.png" ContentType="image/png"/>
  <Override PartName="/word/media/rId43.png" ContentType="image/png"/>
  <Override PartName="/word/media/rId33.png" ContentType="image/png"/>
  <Override PartName="/word/media/rId39.png" ContentType="image/png"/>
  <Override PartName="/word/media/rId84.png" ContentType="image/png"/>
  <Override PartName="/word/media/rId147.png" ContentType="image/png"/>
  <Override PartName="/word/media/rId76.png" ContentType="image/png"/>
  <Override PartName="/word/media/rId71.png" ContentType="image/png"/>
  <Override PartName="/word/media/rId73.png" ContentType="image/png"/>
  <Override PartName="/word/media/rId142.png" ContentType="image/png"/>
  <Override PartName="/word/media/rId141.png" ContentType="image/png"/>
  <Override PartName="/word/media/rId70.png" ContentType="image/png"/>
  <Override PartName="/word/media/rId74.png" ContentType="image/png"/>
  <Override PartName="/word/media/rId90.png" ContentType="image/png"/>
  <Override PartName="/word/media/rId94.png" ContentType="image/png"/>
  <Override PartName="/word/media/rId101.png" ContentType="image/png"/>
  <Override PartName="/word/media/rId99.png" ContentType="image/png"/>
  <Override PartName="/word/media/rId88.png" ContentType="image/png"/>
  <Override PartName="/word/media/rId93.png" ContentType="image/png"/>
  <Override PartName="/word/media/rId92.png" ContentType="image/png"/>
  <Override PartName="/word/media/rId63.png" ContentType="image/png"/>
  <Override PartName="/word/media/rId64.png" ContentType="image/png"/>
  <Override PartName="/word/media/rId138.png" ContentType="image/png"/>
  <Override PartName="/word/media/rId137.png" ContentType="image/png"/>
  <Override PartName="/word/media/rId135.png" ContentType="image/png"/>
  <Override PartName="/word/media/rId134.png" ContentType="image/png"/>
  <Override PartName="/word/media/rId59.png" ContentType="image/png"/>
  <Override PartName="/word/media/rId57.png" ContentType="image/png"/>
  <Override PartName="/word/media/rId129.png" ContentType="image/png"/>
  <Override PartName="/word/media/rId131.png" ContentType="image/png"/>
  <Override PartName="/word/media/rId132.png" ContentType="image/png"/>
  <Override PartName="/word/media/rId97.png" ContentType="image/png"/>
  <Override PartName="/word/media/rId126.png" ContentType="image/png"/>
  <Override PartName="/word/media/rId125.png" ContentType="image/png"/>
  <Override PartName="/word/media/rId103.png" ContentType="image/png"/>
  <Override PartName="/word/media/rId123.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follows0</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ynoptic-sampling-sites"/>
      <w:r>
        <w:t xml:space="preserve">Synoptic 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w:t>
      </w:r>
      <w:r>
        <w:t xml:space="preserve"> </w:t>
      </w:r>
      <w:r>
        <w:rPr>
          <w:i/>
        </w:rPr>
        <w:t xml:space="preserve">River sampling sites across the Leech and Sooke Water Supply Areas (WSA), Greater Victoria, BC.</w:t>
      </w:r>
    </w:p>
    <w:tbl>
      <w:tblPr>
        <w:tblStyle w:val="Table"/>
        <w:tblW w:type="pct" w:w="4999.999999999999"/>
        <w:tblLook w:firstRow="1"/>
        <w:tblCaption w:val="Table 2: River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7e9e3c08bf23e8477697b7359078143289e45ae"/>
      <w:r>
        <w:t xml:space="preserve">Characterization of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ies-of-nom-character"/>
      <w:r>
        <w:t xml:space="preserve">Spectral indicies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Similarly, specific ultraviolet absorbance (SUVA</w:t>
      </w:r>
      <w:r>
        <w:rPr>
          <w:vertAlign w:val="subscript"/>
        </w:rPr>
        <w:t xml:space="preserve">254</w:t>
      </w:r>
      <w:r>
        <w:t xml:space="preserve">) is an indicator of NOM aromaticity relative to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has units of liter per milligram carbon per meter (Lmg-C</w:t>
      </w:r>
      <w:r>
        <w:rPr>
          <w:vertAlign w:val="superscript"/>
        </w:rPr>
        <w:t xml:space="preserve">-1</w:t>
      </w:r>
      <w:r>
        <w:t xml:space="preserve">m</w:t>
      </w:r>
      <w:r>
        <w:rPr>
          <w:vertAlign w:val="superscript"/>
        </w:rPr>
        <w:t xml:space="preserve">-1</w:t>
      </w:r>
      <w:r>
        <w:t xml:space="preserve">, i.e. L/mg-m). 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w:t>
      </w:r>
    </w:p>
    <w:p>
      <w:pPr>
        <w:pStyle w:val="BodyText"/>
      </w:pPr>
      <w:r>
        <w:t xml:space="preserve"> </w:t>
      </w:r>
    </w:p>
    <w:p>
      <w:pPr>
        <w:pStyle w:val="BodyText"/>
      </w:pPr>
      <w:r>
        <w:t xml:space="preserve">A spectral quotient called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E</w:t>
      </w:r>
      <w:r>
        <w:rPr>
          <w:vertAlign w:val="subscript"/>
        </w:rPr>
        <w:t xml:space="preserve">2</w:t>
      </w:r>
      <w:r>
        <w:t xml:space="preserve">:E</w:t>
      </w:r>
      <w:r>
        <w:rPr>
          <w:vertAlign w:val="subscript"/>
        </w:rPr>
        <w:t xml:space="preserve">3</w:t>
      </w:r>
      <w:r>
        <w:t xml:space="preserve"> </w:t>
      </w:r>
      <w:r>
        <w:t xml:space="preserve">values were calculated (SAC</w:t>
      </w:r>
      <w:r>
        <w:rPr>
          <w:vertAlign w:val="subscript"/>
        </w:rPr>
        <w:t xml:space="preserve">250</w:t>
      </w:r>
      <w:r>
        <w:t xml:space="preserve"> </w:t>
      </w:r>
      <w:r>
        <w:t xml:space="preserve">/ SAC</w:t>
      </w:r>
      <w:r>
        <w:rPr>
          <w:vertAlign w:val="subscript"/>
        </w:rPr>
        <w:t xml:space="preserve">365</w:t>
      </w:r>
      <w:r>
        <w:t xml:space="preserve">) to elucidate molecular character of NOM in samples; it is inversely related to the aromaticity and molecular weight of aquatic humic solutes.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2"/>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3"/>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and Martin’s Gulch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and Martin’s Gulch fire-weather stations in the Leech Water Supply Area, where the highlighted section indicates the study period.</w:t>
      </w:r>
    </w:p>
    <w:p>
      <w:pPr>
        <w:pStyle w:val="BodyText"/>
      </w:pPr>
      <w:r>
        <w:t xml:space="preserve"> </w:t>
      </w:r>
    </w:p>
    <w:p>
      <w:pPr>
        <w:pStyle w:val="Heading3"/>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14</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3"/>
      </w:pPr>
      <w:bookmarkStart w:id="60" w:name="vertical-rack-sampling-quality-control"/>
      <w:r>
        <w:t xml:space="preserve">Vertical Rack sampling quality control</w:t>
      </w:r>
      <w:bookmarkEnd w:id="60"/>
    </w:p>
    <w:p>
      <w:pPr>
        <w:pStyle w:val="Heading4"/>
      </w:pPr>
      <w:bookmarkStart w:id="61" w:name="assumptions-of-mixing"/>
      <w:r>
        <w:t xml:space="preserve">Assumptions of mixing</w:t>
      </w:r>
      <w:bookmarkEnd w:id="61"/>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4"/>
      </w:pPr>
      <w:bookmarkStart w:id="62" w:name="hold-time-experiments"/>
      <w:r>
        <w:t xml:space="preserve">Hold-time experiments</w:t>
      </w:r>
      <w:bookmarkEnd w:id="62"/>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3"/>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4999.999999999999"/>
        <w:tblLook w:firstRow="1"/>
        <w:tblCaption w:val="Table 6: Results comparing three Vertical Rack hold-time experiment sets for sample stability in the field"/>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6422207"/>
            <wp:effectExtent b="0" l="0" r="0" t="0"/>
            <wp:docPr descr="Figure 7:  Comparison of three hold-time experiment sets, contrasting ‘fresh’ and ‘held’ sample results for DOC concentrations, spectral absorbance coefficient at 254 nm (SAC254), specific UV absorbance at 254 nm (SUVA254, units of Lmg-1m-1) and the quotient E2:E3."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specific UV absorbance at 254 nm (SUVA</w:t>
      </w:r>
      <w:r>
        <w:rPr>
          <w:vertAlign w:val="subscript"/>
        </w:rPr>
        <w:t xml:space="preserve">254</w:t>
      </w:r>
      <w:r>
        <w:t xml:space="preserve">, units of Lmg</w:t>
      </w:r>
      <w:r>
        <w:rPr>
          <w:vertAlign w:val="superscript"/>
        </w:rPr>
        <w:t xml:space="preserve">-1</w:t>
      </w:r>
      <w:r>
        <w:t xml:space="preserve">m</w:t>
      </w:r>
      <w:r>
        <w:rPr>
          <w:vertAlign w:val="superscript"/>
        </w:rPr>
        <w:t xml:space="preserve">-1</w:t>
      </w:r>
      <w:r>
        <w:t xml:space="preserve">) and the quotient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Heading3"/>
      </w:pPr>
      <w:bookmarkStart w:id="65" w:name="results-summary"/>
      <w:r>
        <w:t xml:space="preserve">Results summary</w:t>
      </w:r>
      <w:bookmarkEnd w:id="65"/>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6" w:name="X596a32eb89ae3893679ea1f3d6f22ab0f5a0ce1"/>
      <w:r>
        <w:t xml:space="preserve">Spatial and Temporal Patterns in DOC &amp; NOM across the GVWSA</w:t>
      </w:r>
      <w:bookmarkEnd w:id="66"/>
    </w:p>
    <w:p>
      <w:pPr>
        <w:pStyle w:val="Heading3"/>
      </w:pPr>
      <w:bookmarkStart w:id="67" w:name="synopsis"/>
      <w:r>
        <w:t xml:space="preserve">Synopsis</w:t>
      </w:r>
      <w:bookmarkEnd w:id="67"/>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8" w:name="results"/>
      <w:r>
        <w:t xml:space="preserve">Results</w:t>
      </w:r>
      <w:bookmarkEnd w:id="68"/>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69" w:name="spatial-patterns-in-doc-nom"/>
      <w:r>
        <w:t xml:space="preserve">Spatial patterns in DOC &amp; NOM</w:t>
      </w:r>
      <w:bookmarkEnd w:id="69"/>
    </w:p>
    <w:p>
      <w:pPr>
        <w:pStyle w:val="FirstParagraph"/>
      </w:pPr>
      <w:r>
        <w:t xml:space="preserve">From 366 quality 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River Sites in the Greater Vistoria Water Supply Area</w:t>
      </w:r>
    </w:p>
    <w:tbl>
      <w:tblPr>
        <w:tblStyle w:val="Table"/>
        <w:tblW w:type="pct" w:w="5000.0"/>
        <w:tblLook w:firstRow="1"/>
        <w:tblCaption w:val="Table 8: Dissolved Organic Carbon Concentrations (DOC) Across Twelve Synoptically Sampled River Sites in the Greater Vis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Similar to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9: Spectral properties of natural organic matter (NOM) character across twelve synoptically sampled river sites"/>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70"/>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el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colelcted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2" w:name="temporal-patterns-in-doc-nom"/>
      <w:r>
        <w:t xml:space="preserve">Temporal patterns in DOC &amp; NOM</w:t>
      </w:r>
      <w:bookmarkEnd w:id="72"/>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Weeks had the highest DOC overall, and slightly higher concentrations during events (Rack samples). Each of the sites had elevated DOC collected by Rack sampling in events (Table</w:t>
      </w:r>
      <w:r>
        <w:t xml:space="preserve"> </w:t>
      </w:r>
      <w:r>
        <w:t xml:space="preserve">11</w:t>
      </w:r>
      <w:r>
        <w:t xml:space="preserve">).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rPr>
          <w:i/>
          <w:b/>
        </w:rPr>
        <w:t xml:space="preserve">Bill: what else do you see in these figures? It looks to be Crag and Chris are very similar, and Weeks, Leach head and West Leach are very different from each other, and the Chris, Cragg, West leach and the tunnel</w:t>
      </w:r>
    </w:p>
    <w:p>
      <w:pPr>
        <w:pStyle w:val="BodyText"/>
      </w:pPr>
      <w:r>
        <w:t xml:space="preserve"> </w:t>
      </w:r>
    </w:p>
    <w:p>
      <w:pPr>
        <w:pStyle w:val="Heading5"/>
      </w:pPr>
      <w:bookmarkStart w:id="75" w:name="seasonal-changes-in-nom-character"/>
      <w:r>
        <w:t xml:space="preserve">Seasonal changes in NOM character</w:t>
      </w:r>
      <w:bookmarkEnd w:id="75"/>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as NPOC) plotted against spectral absorbance coefficient at 254 nm (SAC254, m-1) with results grouped by sampling season. The inset shows DOC (as NPOC) plotted against esatimated DOC concentration output by the spectro::lyser through UV-Vis spectroscopy with an internal calibration file references to SAC254, and the dashed lined indicates best fit (1:1) to show that characteristics of NOM in wet-season samples caused positive bias in absorbance-based DOC estimates, and dry-season sample characteristics lead to negative bias in UV-based DOC estimates."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as NPOC)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esatimated DOC concentration output by the spectro::lyser through UV-Vis spectroscopy with an internal calibration file references to SAC</w:t>
      </w:r>
      <w:r>
        <w:rPr>
          <w:vertAlign w:val="subscript"/>
        </w:rPr>
        <w:t xml:space="preserve">254</w:t>
      </w:r>
      <w:r>
        <w:t xml:space="preserve">, and the dashed lined indicates best fit (1:1) to show that characteristics of NOM in wet-season samples caused positive bias in absorbance-based DOC estimates, and dry-season sample characteristics lead to negative bias in UV-based DOC estimates.</w:t>
      </w:r>
    </w:p>
    <w:p>
      <w:pPr>
        <w:pStyle w:val="BodyText"/>
      </w:pPr>
      <w:r>
        <w:t xml:space="preserve"> </w:t>
      </w:r>
    </w:p>
    <w:p>
      <w:pPr>
        <w:pStyle w:val="BodyText"/>
      </w:pPr>
      <w:r>
        <w:t xml:space="preserve">In addition to indicating a seasonal shift in NOM character, these results suggest that spectral estimates of DOC should be evaluated carefully and that a season-specific site-based calibration should be conducted if DOC is to be estimated by UV-Vis absorbance.</w:t>
      </w:r>
    </w:p>
    <w:p>
      <w:pPr>
        <w:pStyle w:val="BodyText"/>
      </w:pPr>
      <w:r>
        <w:t xml:space="preserve"> </w:t>
      </w:r>
    </w:p>
    <w:p>
      <w:pPr>
        <w:pStyle w:val="SourceCode"/>
      </w:pPr>
      <w:r>
        <w:rPr>
          <w:rStyle w:val="VerbatimChar"/>
        </w:rPr>
        <w:t xml:space="preserve">### Discussion -- needs to be rearranged</w:t>
      </w:r>
      <w:r>
        <w:br/>
      </w:r>
      <w:r>
        <w:br/>
      </w:r>
      <w:r>
        <w:rPr>
          <w:rStyle w:val="VerbatimChar"/>
        </w:rPr>
        <w:t xml:space="preserve">___This section is pretty thin…. You need to look at the dataset and results and pull out what is interesting, what is  in the norm and what his means – how does this compare to the literature? Other areas across BC, the country etc, what appears to drive variation, possible differences etc.  What do you think is happening to DOC as it moves from US to DS.  How could this be further investigated and then set the story up for the next chapter.___</w:t>
      </w:r>
    </w:p>
    <w:p>
      <w:pPr>
        <w:pStyle w:val="FirstParagraph"/>
      </w:pPr>
      <w:r>
        <w:t xml:space="preserve"> </w:t>
      </w:r>
    </w:p>
    <w:p>
      <w:pPr>
        <w:pStyle w:val="Heading4"/>
      </w:pPr>
      <w:bookmarkStart w:id="77" w:name="sampling-strategy"/>
      <w:r>
        <w:t xml:space="preserve">Sampling strategy</w:t>
      </w:r>
      <w:bookmarkEnd w:id="77"/>
    </w:p>
    <w:p>
      <w:pPr>
        <w:pStyle w:val="FirstParagraph"/>
      </w:pPr>
      <w:r>
        <w:t xml:space="preserve">Vertical Racks were a consistent method of reproducible passive sample collection that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Overall, DOC and NOM aromaticity decreased in concentration from upstream to downstream. There was</w:t>
      </w:r>
    </w:p>
    <w:p>
      <w:pPr>
        <w:pStyle w:val="BodyText"/>
      </w:pPr>
      <w:r>
        <w:t xml:space="preserve">and followed a sinusoidal pattern over time.</w:t>
      </w:r>
    </w:p>
    <w:p>
      <w:pPr>
        <w:pStyle w:val="BodyText"/>
      </w:pPr>
      <w:r>
        <w:t xml:space="preserve"> </w:t>
      </w:r>
    </w:p>
    <w:p>
      <w:pPr>
        <w:pStyle w:val="BodyText"/>
      </w:pPr>
      <w:r>
        <w:t xml:space="preserve">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BodyText"/>
      </w:pPr>
      <w:r>
        <w:t xml:space="preserve">In agreement with RCC, results showed greater diversity in NOM character (i.e. aromaticity) in headwater sites than at higher order streams.</w:t>
      </w:r>
    </w:p>
    <w:p>
      <w:pPr>
        <w:pStyle w:val="BodyText"/>
      </w:pPr>
      <w:r>
        <w:t xml:space="preserve"> </w:t>
      </w:r>
    </w:p>
    <w:p>
      <w:pPr>
        <w:pStyle w:val="BodyText"/>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The longitudinal attenuation of DOC observed in the LWSA .</w:t>
      </w:r>
      <w:r>
        <w:br/>
      </w:r>
      <w:r>
        <w:t xml:space="preserve">…</w:t>
      </w:r>
    </w:p>
    <w:p>
      <w:pPr>
        <w:pStyle w:val="BodyText"/>
      </w:pPr>
      <w:r>
        <w:t xml:space="preserve">Results suggest that there is a downstream dilution of DOC concentrations, which implies that if a disturbance in headwater systems were to affect DOC concentrations (and related water quality parameters) the effect would be greatly reduced at the Leech Tunnel. This is encouraging for possible experimental forest fuel treatments (e.g. prescribed burning) in the headwaters, and bodes well for future inter-basin transfers and drinking water treatability.</w:t>
      </w:r>
    </w:p>
    <w:p>
      <w:pPr>
        <w:pStyle w:val="BodyText"/>
      </w:pPr>
      <w:r>
        <w:t xml:space="preserve"> </w:t>
      </w:r>
    </w:p>
    <w:p>
      <w:pPr>
        <w:numPr>
          <w:numId w:val="1002"/>
          <w:ilvl w:val="0"/>
        </w:numPr>
      </w:pPr>
      <w:r>
        <w:t xml:space="preserve">DOC scaling from upstream to down stream – comparable to JimButtle Turkey Lakes studies</w:t>
      </w:r>
    </w:p>
    <w:p>
      <w:pPr>
        <w:numPr>
          <w:numId w:val="1002"/>
          <w:ilvl w:val="0"/>
        </w:numPr>
      </w:pPr>
      <w:r>
        <w:t xml:space="preserve">Low DOC at Rithet and Leech Tunnel sub-basin sites is good news from a source water perspective, as lower DOC concentrations typically result in fewer DBPS being generated, lower risk of biofouling and more effective disinfection with oxidants.</w:t>
      </w:r>
    </w:p>
    <w:p>
      <w:pPr>
        <w:numPr>
          <w:numId w:val="1002"/>
          <w:ilvl w:val="0"/>
        </w:numPr>
      </w:pPr>
      <w:r>
        <w:t xml:space="preserve">“</w:t>
      </w:r>
      <w:r>
        <w:t xml:space="preserve">Vertical Racks captured higher DOC concentrations than synoptic Grab sampling alone and the two methods collected samples with comparable variance (Table</w:t>
      </w:r>
      <w:r>
        <w:t xml:space="preserve"> </w:t>
      </w:r>
      <w:r>
        <w:t xml:space="preserve">11</w:t>
      </w:r>
      <w:r>
        <w:t xml:space="preserve">).</w:t>
      </w:r>
      <w:r>
        <w:t xml:space="preserve">”</w:t>
      </w:r>
      <w:r>
        <w:t xml:space="preserve"> </w:t>
      </w:r>
      <w:r>
        <w:t xml:space="preserve">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numPr>
          <w:numId w:val="1002"/>
          <w:ilvl w:val="0"/>
        </w:numPr>
      </w:pPr>
      <w:r>
        <w:t xml:space="preserve">Racks collected higher DOC on average, compared to Grabs – but did not have greater variance… which was surprising.</w:t>
      </w:r>
    </w:p>
    <w:p>
      <w:pPr>
        <w:pStyle w:val="FirstParagraph"/>
      </w:pPr>
      <w:r>
        <w:t xml:space="preserve"> </w:t>
      </w:r>
    </w:p>
    <w:p>
      <w:pPr>
        <w:pStyle w:val="Heading3"/>
      </w:pPr>
      <w:bookmarkStart w:id="78" w:name="conclusions-and-future-directions"/>
      <w:r>
        <w:t xml:space="preserve">Conclusions and future directions</w:t>
      </w:r>
      <w:bookmarkEnd w:id="78"/>
    </w:p>
    <w:p>
      <w:pPr>
        <w:pStyle w:val="SourceCode"/>
      </w:pPr>
      <w:r>
        <w:rPr>
          <w:rStyle w:val="VerbatimChar"/>
        </w:rPr>
        <w:t xml:space="preserve">Here, highlight the most interesting results and primary discussion point and if you met the objectives and answered the research question, and then identify any problems with the methods, data etc that could be fixed with future research and any questions that still need to be answered.</w:t>
      </w:r>
    </w:p>
    <w:p>
      <w:pPr>
        <w:pStyle w:val="FirstParagraph"/>
      </w:pPr>
      <w:r>
        <w:rPr>
          <w:i/>
          <w:b/>
        </w:rPr>
        <w:t xml:space="preserve">maybe some version of this in the summary:</w:t>
      </w:r>
      <w:r>
        <w:t xml:space="preserve"> </w:t>
      </w:r>
      <w:r>
        <w:rPr>
          <w:i/>
        </w:rP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9" w:name="X059aa9734b24fc9d79f00740fc74d6419af94d7"/>
      <w:r>
        <w:t xml:space="preserve">Leech Monitoring Sites &amp; Driving Forces of DOC and NOM Dynamics</w:t>
      </w:r>
      <w:bookmarkEnd w:id="79"/>
    </w:p>
    <w:p>
      <w:pPr>
        <w:pStyle w:val="Heading3"/>
      </w:pPr>
      <w:bookmarkStart w:id="80" w:name="introduction-synopsis"/>
      <w:r>
        <w:t xml:space="preserve">Introduction / synopsis</w:t>
      </w:r>
      <w:bookmarkEnd w:id="80"/>
    </w:p>
    <w:p>
      <w:pPr>
        <w:pStyle w:val="FirstParagraph"/>
      </w:pPr>
      <w:r>
        <w:t xml:space="preserve">*</w:t>
      </w:r>
      <w:r>
        <w:rPr>
          <w:b/>
        </w:rPr>
        <w:t xml:space="preserve">RQ.2.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 including differences between baseflow and storm events.</w:t>
      </w:r>
    </w:p>
    <w:p>
      <w:pPr>
        <w:pStyle w:val="BodyText"/>
      </w:pPr>
      <w:r>
        <w:t xml:space="preserve">Chapter 4 showed decreasing DOC concentrations and aromaticity from headwaters to mouth of the Leech WSA</w:t>
      </w:r>
    </w:p>
    <w:p>
      <w:pPr>
        <w:pStyle w:val="BodyText"/>
      </w:pPr>
      <w:r>
        <w:t xml:space="preserve"> </w:t>
      </w:r>
    </w:p>
    <w:p>
      <w:pPr>
        <w:pStyle w:val="BodyText"/>
      </w:pPr>
      <w:r>
        <w:t xml:space="preserve">…</w:t>
      </w:r>
      <w:r>
        <w:t xml:space="preserve"> </w:t>
      </w:r>
      <w:r>
        <w:t xml:space="preserve">intro section needs to lay out the problem you are trying to solve ie what are the drivers of DOC and NOM in the watershed and highlight some studies that have done this, and maybe the methods they have used.</w:t>
      </w:r>
      <w:r>
        <w:br/>
      </w:r>
      <w:r>
        <w:t xml:space="preserve">…</w:t>
      </w:r>
    </w:p>
    <w:p>
      <w:pPr>
        <w:pStyle w:val="BodyText"/>
      </w:pPr>
      <w:r>
        <w:t xml:space="preserve"> </w:t>
      </w:r>
    </w:p>
    <w:p>
      <w:pPr>
        <w:pStyle w:val="Heading4"/>
      </w:pPr>
      <w:bookmarkStart w:id="81" w:name="methods-random-forests"/>
      <w:r>
        <w:t xml:space="preserve">Methods – ? Random Forests</w:t>
      </w:r>
      <w:bookmarkEnd w:id="81"/>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82" w:name="methods"/>
      <w:r>
        <w:t xml:space="preserve">Methods</w:t>
      </w:r>
      <w:bookmarkEnd w:id="82"/>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3" w:name="X5fb2cedbae057dbd635e04fcb01269139a5122f"/>
      <w:r>
        <w:t xml:space="preserve">Monitoring sites and sub-basin characteristics</w:t>
      </w:r>
      <w:bookmarkEnd w:id="83"/>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13</w:t>
      </w:r>
      <w:r>
        <w:t xml:space="preserve">).</w:t>
      </w:r>
    </w:p>
    <w:p>
      <w:pPr>
        <w:pStyle w:val="BodyText"/>
      </w:pPr>
      <w:r>
        <w:t xml:space="preserve"> </w:t>
      </w:r>
    </w:p>
    <w:p>
      <w:pPr>
        <w:pStyle w:val="CaptionedFigure"/>
      </w:pPr>
      <w:r>
        <w:drawing>
          <wp:inline>
            <wp:extent cx="5943600" cy="5976414"/>
            <wp:effectExtent b="0" l="0" r="0" t="0"/>
            <wp:docPr descr="Figure 13: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rPr>
          <w:i/>
          <w:b/>
        </w:rPr>
        <w:t xml:space="preserve">from Emily’s thesis:</w:t>
      </w:r>
      <w:r>
        <w:t xml:space="preserve"> </w:t>
      </w:r>
      <w:r>
        <w:t xml:space="preserve">“</w:t>
      </w:r>
      <w:r>
        <w:t xml:space="preserve">To assess the relative importance of various predictors in the model, we calculated variable importance as</w:t>
      </w:r>
      <w:r>
        <w:t xml:space="preserve"> </w:t>
      </w:r>
      <w:r>
        <w:t xml:space="preserve">a percent contribution to sum of squared errors (SSE). This is done by algorithms in the randomForest</w:t>
      </w:r>
      <w:r>
        <w:t xml:space="preserve"> </w:t>
      </w:r>
      <w:r>
        <w:t xml:space="preserve">package by removing the predictors one at a time and measuring the increase in prediction error</w:t>
      </w:r>
      <w:r>
        <w:t xml:space="preserve"> </w:t>
      </w:r>
      <w:r>
        <w:t xml:space="preserve">(Breiman, 2001).</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included:</w:t>
      </w:r>
      <w:r>
        <w:t xml:space="preserve"> </w:t>
      </w:r>
      <w:r>
        <w:t xml:space="preserve">* antecedent 7 day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BodyText"/>
      </w:pPr>
      <w:r>
        <w:t xml:space="preserve">Watershed characteristics for each of the six monitoring sites (Figure</w:t>
      </w:r>
      <w:r>
        <w:t xml:space="preserve"> </w:t>
      </w:r>
      <w:r>
        <w:t xml:space="preserve">13</w:t>
      </w:r>
      <w:r>
        <w:t xml:space="preserve">, Table</w:t>
      </w:r>
      <w:r>
        <w:t xml:space="preserve"> </w:t>
      </w:r>
      <w:r>
        <w:t xml:space="preserve">13</w:t>
      </w:r>
      <w:r>
        <w:t xml:space="preserve">) were included with antecedent 7-day temperatures and antecedent 30-day rain, river stage and sampling season as possible predictor variables for DOC concentrations. Variable importance was assessed using the R package randomForest, the backbone of which is Breiman’s Random Forests (RF) algorithm</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BodyText"/>
      </w:pPr>
      <w:r>
        <w:t xml:space="preserve">Parameters were filtered as much as possible to remove those that could cause spurious correlations (i.e. cross-correlated variables) and the RF variable importance measure (VIM) was evaluated for the entire study period (Figure</w:t>
      </w:r>
      <w:r>
        <w:t xml:space="preserve"> </w:t>
      </w:r>
      <w:r>
        <w:t xml:space="preserve">21</w:t>
      </w:r>
      <w:r>
        <w:t xml:space="preserve">).</w:t>
      </w:r>
    </w:p>
    <w:p>
      <w:pPr>
        <w:pStyle w:val="BodyText"/>
      </w:pPr>
      <w:r>
        <w:t xml:space="preserve">Variables were subset into three variable groups: conditions (e.g. weather) which included dynamic numeric measurements; basin surface characteristics (e.g. land-cover) which included static watershed characteristics unique to each sampling basin; and parent material which included static subsurface characteristics of each sampling basin. Surface and subsurface characteristics were separated because…</w:t>
      </w:r>
    </w:p>
    <w:p>
      <w:pPr>
        <w:pStyle w:val="BodyText"/>
      </w:pPr>
      <w:r>
        <w:t xml:space="preserve"> </w:t>
      </w:r>
    </w:p>
    <w:p>
      <w:pPr>
        <w:pStyle w:val="Heading4"/>
      </w:pPr>
      <w:bookmarkStart w:id="86" w:name="evaluating-local-extrema"/>
      <w:r>
        <w:t xml:space="preserve">evaluating local extrema</w:t>
      </w:r>
      <w:bookmarkEnd w:id="86"/>
    </w:p>
    <w:p>
      <w:pPr>
        <w:pStyle w:val="FirstParagraph"/>
      </w:pPr>
      <w:r>
        <w:t xml:space="preserve">Aqueous DOC was quantified from discrete stream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7" w:name="results"/>
      <w:r>
        <w:t xml:space="preserve">Results</w:t>
      </w:r>
      <w:bookmarkEnd w:id="87"/>
    </w:p>
    <w:p>
      <w:pPr>
        <w:pStyle w:val="FirstParagraph"/>
      </w:pPr>
      <w:r>
        <w:t xml:space="preserve"> </w:t>
      </w:r>
    </w:p>
    <w:p>
      <w:pPr>
        <w:pStyle w:val="BodyText"/>
      </w:pPr>
      <w:r>
        <w:t xml:space="preserve">…</w:t>
      </w:r>
      <w:r>
        <w:t xml:space="preserve"> </w:t>
      </w:r>
      <w:r>
        <w:t xml:space="preserve">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14</w:t>
      </w:r>
      <w:r>
        <w:t xml:space="preserve">).</w:t>
      </w:r>
    </w:p>
    <w:p>
      <w:pPr>
        <w:pStyle w:val="BodyText"/>
      </w:pPr>
      <w:r>
        <w:t xml:space="preserve"> </w:t>
      </w:r>
    </w:p>
    <w:p>
      <w:pPr>
        <w:pStyle w:val="CaptionedFigure"/>
      </w:pPr>
      <w:r>
        <w:drawing>
          <wp:inline>
            <wp:extent cx="5504749" cy="6422207"/>
            <wp:effectExtent b="0" l="0" r="0" t="0"/>
            <wp:docPr descr="Figure 14: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TableCaption"/>
      </w:pPr>
      <w:r>
        <w:t xml:space="preserve">Table 14:</w:t>
      </w:r>
      <w:r>
        <w:t xml:space="preserve"> </w:t>
      </w:r>
      <w:r>
        <w:rPr>
          <w:i/>
        </w:rPr>
        <w:t xml:space="preserve">Rain events defined by a threshold of 50mm with 14-hour inter-event period</w:t>
      </w:r>
    </w:p>
    <w:tbl>
      <w:tblPr>
        <w:tblStyle w:val="Table"/>
        <w:tblW w:type="pct" w:w="5000.0"/>
        <w:tblLook w:firstRow="1"/>
        <w:tblCaption w:val="Table 14: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15</w:t>
      </w:r>
      <w:r>
        <w:t xml:space="preserve">).</w:t>
      </w:r>
    </w:p>
    <w:p>
      <w:pPr>
        <w:pStyle w:val="BodyText"/>
      </w:pPr>
      <w:r>
        <w:t xml:space="preserve"> </w:t>
      </w:r>
    </w:p>
    <w:p>
      <w:pPr>
        <w:pStyle w:val="TableCaption"/>
      </w:pPr>
      <w:r>
        <w:t xml:space="preserve">Table 15:</w:t>
      </w:r>
      <w:r>
        <w:t xml:space="preserve"> </w:t>
      </w:r>
      <w:r>
        <w:rPr>
          <w:i/>
        </w:rPr>
        <w:t xml:space="preserve">Minimum and maximum rain event values</w:t>
      </w:r>
      <w:r>
        <w:rPr>
          <w:i/>
        </w:rPr>
        <w:t xml:space="preserve"> </w:t>
      </w:r>
    </w:p>
    <w:tbl>
      <w:tblPr>
        <w:tblStyle w:val="Table"/>
        <w:tblW w:type="pct" w:w="5000.0"/>
        <w:tblLook w:firstRow="1"/>
        <w:tblCaption w:val="Table 15: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14</w:t>
      </w:r>
      <w:r>
        <w:t xml:space="preserve">) and generated incredible flows across the Leech watershed (and across southern Vancouver Island).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BodyText"/>
      </w:pPr>
      <w:r>
        <w:t xml:space="preserve">…</w:t>
      </w:r>
    </w:p>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16</w:t>
      </w:r>
      <w:r>
        <w:t xml:space="preserve">).</w:t>
      </w:r>
    </w:p>
    <w:p>
      <w:pPr>
        <w:pStyle w:val="BodyText"/>
      </w:pPr>
      <w:r>
        <w:t xml:space="preserve"> </w:t>
      </w:r>
    </w:p>
    <w:p>
      <w:pPr>
        <w:pStyle w:val="TableCaption"/>
      </w:pPr>
      <w:r>
        <w:t xml:space="preserve">Table 16:</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6: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15</w:t>
      </w:r>
      <w:r>
        <w:t xml:space="preserve">).</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easonal-patterns-in-doc-nom"/>
      <w:r>
        <w:t xml:space="preserve">Seasonal patterns in DOC &amp; NOM</w:t>
      </w:r>
      <w:bookmarkEnd w:id="91"/>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16</w:t>
      </w:r>
      <w:r>
        <w:t xml:space="preserve">).</w:t>
      </w:r>
    </w:p>
    <w:p>
      <w:pPr>
        <w:pStyle w:val="CaptionedFigure"/>
      </w:pPr>
      <w:r>
        <w:drawing>
          <wp:inline>
            <wp:extent cx="5504749" cy="5504749"/>
            <wp:effectExtent b="0" l="0" r="0" t="0"/>
            <wp:docPr descr="Figure 16: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17:</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7: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18</w:t>
      </w:r>
      <w:r>
        <w:t xml:space="preserve">). Despite seasonal sample count differences, interesting spatial differences emerged when sample results were grouped by season (Figure</w:t>
      </w:r>
      <w:r>
        <w:t xml:space="preserve"> </w:t>
      </w:r>
      <w:r>
        <w:t xml:space="preserve">18</w:t>
      </w:r>
      <w:r>
        <w:t xml:space="preserve">).</w:t>
      </w:r>
    </w:p>
    <w:p>
      <w:pPr>
        <w:pStyle w:val="BodyText"/>
      </w:pPr>
      <w:r>
        <w:rPr>
          <w:i/>
          <w:b/>
        </w:rPr>
        <w:t xml:space="preserve">what was interesting???</w:t>
      </w:r>
    </w:p>
    <w:p>
      <w:pPr>
        <w:pStyle w:val="BodyText"/>
      </w:pPr>
      <w:r>
        <w:t xml:space="preserve"> </w:t>
      </w:r>
    </w:p>
    <w:p>
      <w:pPr>
        <w:pStyle w:val="TableCaption"/>
      </w:pPr>
      <w:r>
        <w:t xml:space="preserve">Table 18:</w:t>
      </w:r>
      <w:r>
        <w:t xml:space="preserve"> </w:t>
      </w:r>
      <w:r>
        <w:rPr>
          <w:i/>
        </w:rPr>
        <w:t xml:space="preserve">Seasonal comparison of sample results by monitoring site</w:t>
      </w:r>
    </w:p>
    <w:tbl>
      <w:tblPr>
        <w:tblStyle w:val="Table"/>
        <w:tblW w:type="pct" w:w="5000.0"/>
        <w:tblLook w:firstRow="1"/>
        <w:tblCaption w:val="Table 18: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18: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18</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w:t>
      </w:r>
    </w:p>
    <w:p>
      <w:pPr>
        <w:pStyle w:val="BodyText"/>
      </w:pPr>
      <w:r>
        <w:t xml:space="preserve"> </w:t>
      </w:r>
    </w:p>
    <w:p>
      <w:pPr>
        <w:pStyle w:val="Heading4"/>
      </w:pPr>
      <w:bookmarkStart w:id="95" w:name="rising-stage-and-nom-dynamics"/>
      <w:r>
        <w:t xml:space="preserve">Rising stage and NOM dynamics</w:t>
      </w:r>
      <w:bookmarkEnd w:id="95"/>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19:</w:t>
      </w:r>
      <w:r>
        <w:t xml:space="preserve"> </w:t>
      </w:r>
      <w:r>
        <w:rPr>
          <w:i/>
        </w:rPr>
        <w:t xml:space="preserve">Summary of stream response to precipitation events across the LWSA.</w:t>
      </w:r>
    </w:p>
    <w:tbl>
      <w:tblPr>
        <w:tblStyle w:val="Table"/>
        <w:tblW w:type="pct" w:w="5000.0"/>
        <w:tblLook w:firstRow="1"/>
        <w:tblCaption w:val="Table 19: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19</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6" w:name="Xc2630683f9dc53106c8f6f2575ed377c9a57537"/>
      <w:r>
        <w:t xml:space="preserve">Spatiotemporal synchrony in local extrema: river stage and DOC</w:t>
      </w:r>
      <w:bookmarkEnd w:id="96"/>
    </w:p>
    <w:p>
      <w:pPr>
        <w:pStyle w:val="FirstParagraph"/>
      </w:pPr>
      <w:r>
        <w:t xml:space="preserve"> </w:t>
      </w:r>
    </w:p>
    <w:p>
      <w:pPr>
        <w:pStyle w:val="BodyText"/>
      </w:pPr>
      <w:r>
        <w:t xml:space="preserve">Streams responded</w:t>
      </w:r>
      <w:r>
        <w:t xml:space="preserve"> </w:t>
      </w:r>
      <w:r>
        <w:rPr>
          <w:i/>
          <w:b/>
        </w:rPr>
        <w:t xml:space="preserve">harmoniously</w:t>
      </w:r>
      <w:r>
        <w:t xml:space="preserve"> </w:t>
      </w:r>
      <w:r>
        <w:t xml:space="preserve">to precipitation across the LWSA, with synchronous changes in stage, but was a similar harmony present for fluctuations in DOC or spectral properties?</w:t>
      </w:r>
    </w:p>
    <w:p>
      <w:pPr>
        <w:pStyle w:val="BodyText"/>
      </w:pPr>
      <w:r>
        <w:t xml:space="preserve">Table</w:t>
      </w:r>
      <w:r>
        <w:t xml:space="preserve"> </w:t>
      </w:r>
      <w:r>
        <w:t xml:space="preserve">20</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20:</w:t>
      </w:r>
      <w:r>
        <w:t xml:space="preserve"> </w:t>
      </w:r>
      <w:r>
        <w:rPr>
          <w:i/>
        </w:rPr>
        <w:t xml:space="preserve">Proportion of samples for which peak DOC was found in the highest sample stage.</w:t>
      </w:r>
    </w:p>
    <w:tbl>
      <w:tblPr>
        <w:tblStyle w:val="Table"/>
        <w:tblW w:type="pct" w:w="0.0"/>
        <w:tblLook w:firstRow="1"/>
        <w:tblCaption w:val="Table 20: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19</w:t>
      </w:r>
      <w:r>
        <w:t xml:space="preserve">).</w:t>
      </w:r>
    </w:p>
    <w:p>
      <w:pPr>
        <w:pStyle w:val="BodyText"/>
      </w:pPr>
      <w:r>
        <w:t xml:space="preserve"> </w:t>
      </w:r>
    </w:p>
    <w:p>
      <w:pPr>
        <w:pStyle w:val="BodyText"/>
      </w:pPr>
      <w:r>
        <w:t xml:space="preserve">…</w:t>
      </w:r>
    </w:p>
    <w:p>
      <w:pPr>
        <w:pStyle w:val="BodyText"/>
      </w:pPr>
      <w:r>
        <w:t xml:space="preserve"> </w:t>
      </w:r>
    </w:p>
    <w:p>
      <w:pPr>
        <w:pStyle w:val="BodyText"/>
      </w:pPr>
      <w:r>
        <w:t xml:space="preserve">In general DOC concentations were lowest at the beginning of events and increased with a rise in stage. Then identify instances where this was not the case and if you noticed dilution affects as the season progressed – you could just make a simple plot of stage vs DOC (ie x vs y plot) at each site and see how they group and see if this grouping changes through the season.</w:t>
      </w:r>
    </w:p>
    <w:p>
      <w:pPr>
        <w:pStyle w:val="BodyText"/>
      </w:pPr>
      <w:r>
        <w:t xml:space="preserve"> </w:t>
      </w:r>
    </w:p>
    <w:p>
      <w:pPr>
        <w:pStyle w:val="BodyText"/>
      </w:pPr>
      <w:r>
        <w:t xml:space="preserve">…</w:t>
      </w:r>
    </w:p>
    <w:p>
      <w:pPr>
        <w:pStyle w:val="BodyText"/>
      </w:pPr>
      <w:r>
        <w:t xml:space="preserve"> </w:t>
      </w:r>
    </w:p>
    <w:p>
      <w:pPr>
        <w:pStyle w:val="CaptionedFigure"/>
      </w:pPr>
      <w:r>
        <w:drawing>
          <wp:inline>
            <wp:extent cx="5943600" cy="6339839"/>
            <wp:effectExtent b="0" l="0" r="0" t="0"/>
            <wp:docPr descr="Figure 19: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21</w:t>
      </w:r>
      <w:r>
        <w:t xml:space="preserve">).</w:t>
      </w:r>
    </w:p>
    <w:p>
      <w:pPr>
        <w:pStyle w:val="BodyText"/>
      </w:pPr>
      <w:r>
        <w:t xml:space="preserve"> </w:t>
      </w:r>
    </w:p>
    <w:p>
      <w:pPr>
        <w:pStyle w:val="BodyText"/>
      </w:pPr>
      <w:r>
        <w:rPr>
          <w:i/>
          <w:b/>
        </w:rPr>
        <w:t xml:space="preserve">This table provides some useful info. I would tru to look at individual events and pull out interesting facts like during this event, DOC concentration tripled or doubled or etc. And then maybe present mean differences among events:</w:t>
      </w:r>
    </w:p>
    <w:p>
      <w:pPr>
        <w:pStyle w:val="BodyText"/>
      </w:pPr>
      <w:r>
        <w:t xml:space="preserve"> </w:t>
      </w:r>
    </w:p>
    <w:p>
      <w:pPr>
        <w:pStyle w:val="TableCaption"/>
      </w:pPr>
      <w:r>
        <w:t xml:space="preserve">Table 21: Summary of DOC Changes Within Stormflow Response to Precipitation Events Across the Leech WSA (Samples from Wet Season Only).*</w:t>
      </w:r>
    </w:p>
    <w:tbl>
      <w:tblPr>
        <w:tblStyle w:val="Table"/>
        <w:tblW w:type="pct" w:w="5000.0"/>
        <w:tblLook w:firstRow="1"/>
        <w:tblCaption w:val="Table 21: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8" w:name="river-stage-doc-nom"/>
      <w:r>
        <w:t xml:space="preserve">River stage, DOC &amp; NOM</w:t>
      </w:r>
      <w:bookmarkEnd w:id="98"/>
    </w:p>
    <w:p>
      <w:pPr>
        <w:pStyle w:val="FirstParagraph"/>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20</w:t>
      </w:r>
      <w:r>
        <w:t xml:space="preserve">). …</w:t>
      </w:r>
      <w:r>
        <w:rPr>
          <w:i/>
          <w:b/>
        </w:rPr>
        <w:t xml:space="preserve">I don’t actually see that pattern at all in those figures – not sure you can do hysteresis plots with the data you have, but you should try</w:t>
      </w:r>
      <w:r>
        <w:t xml:space="preserve">….</w:t>
      </w:r>
    </w:p>
    <w:p>
      <w:pPr>
        <w:pStyle w:val="BodyText"/>
      </w:pPr>
      <w:r>
        <w:t xml:space="preserve"> </w:t>
      </w:r>
    </w:p>
    <w:p>
      <w:pPr>
        <w:pStyle w:val="CaptionedFigure"/>
      </w:pPr>
      <w:r>
        <w:drawing>
          <wp:inline>
            <wp:extent cx="5504749" cy="6880936"/>
            <wp:effectExtent b="0" l="0" r="0" t="0"/>
            <wp:docPr descr="Figure 20:  Relationships between river stage and sample DOC concentrations and NOM character. Data for each variable were normalized (min-max normalization) to clarify relative scales in each relationship. None of the relationships were were linear, some had more large variance and some variables remained consistent with changing stage."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9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Relationships between river stage and sample DOC concentrations and NOM character. Data for each variable were normalized (min-max normalization) to clarify relative scales in each relationship. None of the relationships were were linear, some had more large variance and some variables remained consistent with changing stage.</w:t>
      </w:r>
    </w:p>
    <w:p>
      <w:pPr>
        <w:pStyle w:val="BodyText"/>
      </w:pPr>
      <w:r>
        <w:t xml:space="preserve"> </w:t>
      </w:r>
    </w:p>
    <w:p>
      <w:pPr>
        <w:pStyle w:val="Heading4"/>
      </w:pPr>
      <w:bookmarkStart w:id="100" w:name="random-forests-for-variable-importance-1"/>
      <w:r>
        <w:t xml:space="preserve">Random Forests for variable importance</w:t>
      </w:r>
      <w:bookmarkEnd w:id="100"/>
    </w:p>
    <w:p>
      <w:pPr>
        <w:pStyle w:val="FirstParagraph"/>
      </w:pPr>
      <w:r>
        <w:t xml:space="preserve">…</w:t>
      </w:r>
    </w:p>
    <w:p>
      <w:pPr>
        <w:pStyle w:val="BodyText"/>
      </w:pPr>
      <w:r>
        <w:t xml:space="preserve"> </w:t>
      </w:r>
    </w:p>
    <w:p>
      <w:pPr>
        <w:pStyle w:val="CaptionedFigure"/>
      </w:pPr>
      <w:r>
        <w:drawing>
          <wp:inline>
            <wp:extent cx="5504749" cy="6422207"/>
            <wp:effectExtent b="0" l="0" r="0" t="0"/>
            <wp:docPr descr="Figure 21:  Variable importance measure for predicting NOM concentration (as DOC) and molecular character (as E2:E3). Variable importance measures were extracted from randomForest (R) and determined by mean decrease in accuracy (mean square errors with predictor variable omitted from permuting data, i.e. type 1 importance measure)." title="" id="1" name="Picture"/>
            <a:graphic>
              <a:graphicData uri="http://schemas.openxmlformats.org/drawingml/2006/picture">
                <pic:pic>
                  <pic:nvPicPr>
                    <pic:cNvPr descr="R-outputs_UBC-forWater-MSc_HMc/figures/Ch3_RFplot-summary_DOC-E2E3.png" id="0" name="Picture"/>
                    <pic:cNvPicPr>
                      <a:picLocks noChangeArrowheads="1" noChangeAspect="1"/>
                    </pic:cNvPicPr>
                  </pic:nvPicPr>
                  <pic:blipFill>
                    <a:blip r:embed="rId101"/>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Variable importance measure for predicting NOM concentration (as DOC) and molecular character (as E</w:t>
      </w:r>
      <w:r>
        <w:rPr>
          <w:vertAlign w:val="subscript"/>
          <w:i/>
        </w:rPr>
        <w:t xml:space="preserve">2</w:t>
      </w:r>
      <w:r>
        <w:rPr>
          <w:i/>
        </w:rPr>
        <w:t xml:space="preserve">:E</w:t>
      </w:r>
      <w:r>
        <w:rPr>
          <w:vertAlign w:val="subscript"/>
          <w:i/>
        </w:rPr>
        <w:t xml:space="preserve">3</w:t>
      </w:r>
      <w:r>
        <w:rPr>
          <w:i/>
        </w:rPr>
        <w:t xml:space="preserve">). Variable importance measures were extracted from randomForest (R) and determined by mean decrease in accuracy (mean square errors with predictor variable omitted from permuting data, i.e. type 1 importance measure).</w:t>
      </w:r>
    </w:p>
    <w:p>
      <w:pPr>
        <w:pStyle w:val="Heading3"/>
      </w:pPr>
      <w:bookmarkStart w:id="102" w:name="remove-until-you-fix-this"/>
      <w:r>
        <w:t xml:space="preserve">Remove until you fix this</w:t>
      </w:r>
      <w:bookmarkEnd w:id="102"/>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19</w:t>
      </w:r>
      <w:r>
        <w:t xml:space="preserve"> </w:t>
      </w:r>
      <w:r>
        <w:t xml:space="preserve">and expanded in Figure</w:t>
      </w:r>
      <w:r>
        <w:t xml:space="preserve"> </w:t>
      </w:r>
      <w:r>
        <w:t xml:space="preserve">22</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22</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22:</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22: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23</w:t>
      </w:r>
    </w:p>
    <w:p>
      <w:pPr>
        <w:pStyle w:val="FirstParagraph"/>
      </w:pPr>
      <w:r>
        <w:t xml:space="preserve"> </w:t>
      </w:r>
    </w:p>
    <w:p>
      <w:pPr>
        <w:pStyle w:val="TableCaption"/>
      </w:pPr>
      <w:r>
        <w:t xml:space="preserve">Table 23:</w:t>
      </w:r>
      <w:r>
        <w:t xml:space="preserve"> </w:t>
      </w:r>
      <w:r>
        <w:rPr>
          <w:i/>
        </w:rPr>
        <w:t xml:space="preserve">Summary of stream response to precipitation events 10-12 across the LWSA.</w:t>
      </w:r>
    </w:p>
    <w:tbl>
      <w:tblPr>
        <w:tblStyle w:val="Table"/>
        <w:tblW w:type="pct" w:w="5000.0"/>
        <w:tblLook w:firstRow="1"/>
        <w:tblCaption w:val="Table 23: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24</w:t>
      </w:r>
    </w:p>
    <w:p>
      <w:pPr>
        <w:pStyle w:val="FirstParagraph"/>
      </w:pPr>
      <w:r>
        <w:t xml:space="preserve"> </w:t>
      </w:r>
    </w:p>
    <w:p>
      <w:pPr>
        <w:pStyle w:val="TableCaption"/>
      </w:pPr>
      <w:r>
        <w:t xml:space="preserve">Table 24:</w:t>
      </w:r>
      <w:r>
        <w:t xml:space="preserve"> </w:t>
      </w:r>
      <w:r>
        <w:rPr>
          <w:i/>
        </w:rPr>
        <w:t xml:space="preserve">Summary of DOC changes within stormflow response to precipitation events 10-12 across the LWSA.</w:t>
      </w:r>
    </w:p>
    <w:tbl>
      <w:tblPr>
        <w:tblStyle w:val="Table"/>
        <w:tblW w:type="pct" w:w="5000.0"/>
        <w:tblLook w:firstRow="1"/>
        <w:tblCaption w:val="Table 24: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2: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4" w:name="discussion"/>
      <w:r>
        <w:t xml:space="preserve">Discussion</w:t>
      </w:r>
      <w:bookmarkEnd w:id="104"/>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FirstParagraph"/>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105" w:name="conculsions"/>
      <w:r>
        <w:t xml:space="preserve">Conculsions</w:t>
      </w:r>
      <w:bookmarkEnd w:id="105"/>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06" w:name="summary-conclusions"/>
      <w:r>
        <w:t xml:space="preserve">Summary &amp; Conclusions</w:t>
      </w:r>
      <w:bookmarkEnd w:id="106"/>
    </w:p>
    <w:p>
      <w:pPr>
        <w:pStyle w:val="Heading3"/>
      </w:pPr>
      <w:bookmarkStart w:id="107" w:name="X8db5f38833cbb48dc6afb8e20d30ffa86edd60c"/>
      <w:r>
        <w:t xml:space="preserve">Discussion of results in context of drinking water supply</w:t>
      </w:r>
      <w:bookmarkEnd w:id="107"/>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08" w:name="concluding-remarks"/>
      <w:r>
        <w:t xml:space="preserve">Concluding remarks</w:t>
      </w:r>
      <w:bookmarkEnd w:id="108"/>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09" w:name="references"/>
      <w:r>
        <w:t xml:space="preserve">References</w:t>
      </w:r>
      <w:bookmarkEnd w:id="109"/>
    </w:p>
    <w:p>
      <w:pPr>
        <w:pStyle w:val="Heading1"/>
      </w:pPr>
      <w:bookmarkStart w:id="110" w:name="appendices"/>
      <w:r>
        <w:t xml:space="preserve">Appendices</w:t>
      </w:r>
      <w:bookmarkEnd w:id="110"/>
    </w:p>
    <w:p>
      <w:pPr>
        <w:pStyle w:val="Heading7"/>
      </w:pPr>
      <w:bookmarkStart w:id="111" w:name="technology-summary"/>
      <w:r>
        <w:t xml:space="preserve">Technology summary</w:t>
      </w:r>
      <w:bookmarkEnd w:id="111"/>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2" w:name="extended-background-forwater-and-crd"/>
      <w:r>
        <w:t xml:space="preserve">Extended background: forWater and CRD</w:t>
      </w:r>
      <w:bookmarkEnd w:id="112"/>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3" w:name="X264f14d3eae9d18c35d78736d0a098750021930"/>
      <w:r>
        <w:t xml:space="preserve">Greater Victoria Regional Water Supply System</w:t>
      </w:r>
      <w:bookmarkEnd w:id="113"/>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4" w:name="Xe968f3c83cbcc4b5a1983307cc0905fcf58e8c8"/>
      <w:r>
        <w:t xml:space="preserve">Leech watershed monitoring sites: details and observations</w:t>
      </w:r>
      <w:bookmarkEnd w:id="114"/>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5" w:name="lwsa-sites"/>
      <w:r>
        <w:t xml:space="preserve">LWSA Sites</w:t>
      </w:r>
      <w:bookmarkEnd w:id="115"/>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BodyText"/>
      </w:pPr>
      <w:r>
        <w:rPr>
          <w:i/>
          <w:b/>
        </w:rPr>
        <w:t xml:space="preserve">Weeks Creek (site 1)</w:t>
      </w:r>
    </w:p>
    <w:p>
      <w:pPr>
        <w:pStyle w:val="BodyText"/>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3: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16"/>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17" w:name="sampling-methods-extended"/>
      <w:r>
        <w:t xml:space="preserve">Sampling methods extended</w:t>
      </w:r>
      <w:bookmarkEnd w:id="117"/>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18" w:name="X4e3eb70344da6a931ae15671e47b67ae69cdd36"/>
      <w:r>
        <w:t xml:space="preserve">Prototype for falling limb passive sampling</w:t>
      </w:r>
      <w:bookmarkEnd w:id="118"/>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19" w:name="field-protocol"/>
      <w:r>
        <w:t xml:space="preserve">Field protocol</w:t>
      </w:r>
      <w:bookmarkEnd w:id="11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0" w:name="X2d89b5d6f202e03997b814e44f6e42dfdd5249c"/>
      <w:r>
        <w:t xml:space="preserve">Collaborative sampling: forWater-coordinated treatability analyses</w:t>
      </w:r>
      <w:bookmarkEnd w:id="120"/>
    </w:p>
    <w:p>
      <w:pPr>
        <w:pStyle w:val="Heading8"/>
      </w:pPr>
      <w:bookmarkStart w:id="121" w:name="methods-treatability-doc"/>
      <w:r>
        <w:t xml:space="preserve">Methods: Treatability &amp; DOC</w:t>
      </w:r>
      <w:bookmarkEnd w:id="121"/>
    </w:p>
    <w:p>
      <w:pPr>
        <w:pStyle w:val="FirstParagraph"/>
      </w:pPr>
      <w:r>
        <w:t xml:space="preserve"> </w:t>
      </w:r>
    </w:p>
    <w:p>
      <w:pPr>
        <w:pStyle w:val="BodyText"/>
      </w:pPr>
      <w:r>
        <w:rPr>
          <w:b/>
        </w:rPr>
        <w:t xml:space="preserve">sites</w:t>
      </w:r>
    </w:p>
    <w:p>
      <w:pPr>
        <w:pStyle w:val="BodyText"/>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8"/>
      </w:pPr>
      <w:bookmarkStart w:id="122" w:name="results-treatability-doc"/>
      <w:r>
        <w:t xml:space="preserve">Results: Treatability &amp; DOC</w:t>
      </w:r>
      <w:bookmarkEnd w:id="122"/>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24</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4: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4" w:name="Xff3df6f0b5125afdf67e23fe1c58fcbb9379388"/>
      <w:r>
        <w:t xml:space="preserve">Collaborative sampling: Sampling for Metals on behalf of the CRD</w:t>
      </w:r>
      <w:bookmarkEnd w:id="124"/>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BodyText"/>
      </w:pPr>
      <w:r>
        <w:rPr>
          <w:i/>
          <w:b/>
        </w:rPr>
        <w:t xml:space="preserve">Metals &amp; DOC</w:t>
      </w:r>
    </w:p>
    <w:p>
      <w:pPr>
        <w:pStyle w:val="BodyText"/>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25</w:t>
      </w:r>
      <w:r>
        <w:t xml:space="preserve"> </w:t>
      </w:r>
      <w:r>
        <w:t xml:space="preserve">shows DOC with total metals in μg/L, and Figure</w:t>
      </w:r>
      <w:r>
        <w:t xml:space="preserve"> </w:t>
      </w:r>
      <w:r>
        <w:t xml:space="preserve">26</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5: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6: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2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25</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25:</w:t>
      </w:r>
      <w:r>
        <w:t xml:space="preserve"> </w:t>
      </w:r>
      <w:r>
        <w:rPr>
          <w:i/>
        </w:rPr>
        <w:t xml:space="preserve">Relationships between total metals with dissolved organic carbon</w:t>
      </w:r>
    </w:p>
    <w:tbl>
      <w:tblPr>
        <w:tblStyle w:val="Table"/>
        <w:tblW w:type="pct" w:w="0.0"/>
        <w:tblLook w:firstRow="1"/>
        <w:tblCaption w:val="Table 25: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27" w:name="ancilary-data-climate-context"/>
      <w:r>
        <w:t xml:space="preserve">Ancilary data: climate context</w:t>
      </w:r>
      <w:bookmarkEnd w:id="127"/>
    </w:p>
    <w:p>
      <w:pPr>
        <w:pStyle w:val="Heading8"/>
      </w:pPr>
      <w:bookmarkStart w:id="128" w:name="fwx-stations-in-the-lwsa"/>
      <w:r>
        <w:t xml:space="preserve">FWx stations in the LWSA</w:t>
      </w:r>
      <w:bookmarkEnd w:id="128"/>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27</w:t>
      </w:r>
      <w:r>
        <w:t xml:space="preserve">, Table</w:t>
      </w:r>
      <w:r>
        <w:t xml:space="preserve"> </w:t>
      </w:r>
      <w:r>
        <w:t xml:space="preserve">26</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7: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2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26: Annual weather from CRD FWx stations in the Leech water supply area*</w:t>
      </w:r>
    </w:p>
    <w:tbl>
      <w:tblPr>
        <w:tblStyle w:val="Table"/>
        <w:tblW w:type="pct" w:w="5000.0"/>
        <w:tblLook w:firstRow="1"/>
        <w:tblCaption w:val="Table 26: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0" w:name="malahat-5-year-weather"/>
      <w:r>
        <w:t xml:space="preserve">Malahat 5 year weather</w:t>
      </w:r>
      <w:bookmarkEnd w:id="130"/>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28</w:t>
      </w:r>
      <w:r>
        <w:t xml:space="preserve"> </w:t>
      </w:r>
      <w:r>
        <w:t xml:space="preserve">shows Malahat weather data, which are summarized in Table</w:t>
      </w:r>
      <w:r>
        <w:t xml:space="preserve"> </w:t>
      </w:r>
      <w:r>
        <w:t xml:space="preserve">27</w:t>
      </w:r>
      <w:r>
        <w:t xml:space="preserve">.</w:t>
      </w:r>
    </w:p>
    <w:p>
      <w:pPr>
        <w:pStyle w:val="CaptionedFigure"/>
      </w:pPr>
      <w:r>
        <w:drawing>
          <wp:inline>
            <wp:extent cx="5943600" cy="3668888"/>
            <wp:effectExtent b="0" l="0" r="0" t="0"/>
            <wp:docPr descr="Figure 28: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27:</w:t>
      </w:r>
      <w:r>
        <w:t xml:space="preserve"> </w:t>
      </w:r>
      <w:r>
        <w:rPr>
          <w:i/>
        </w:rPr>
        <w:t xml:space="preserve">Annual weather data from Malahat station (MoTI ID 62091)</w:t>
      </w:r>
    </w:p>
    <w:tbl>
      <w:tblPr>
        <w:tblStyle w:val="Table"/>
        <w:tblW w:type="pct" w:w="0.0"/>
        <w:tblLook w:firstRow="1"/>
        <w:tblCaption w:val="Table 27: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29</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9: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28:</w:t>
      </w:r>
      <w:r>
        <w:t xml:space="preserve"> </w:t>
      </w:r>
      <w:r>
        <w:rPr>
          <w:i/>
        </w:rPr>
        <w:t xml:space="preserve">Results of Wilcoxon test for Malahat weather data before and during the study period</w:t>
      </w:r>
    </w:p>
    <w:tbl>
      <w:tblPr>
        <w:tblStyle w:val="Table"/>
        <w:tblW w:type="pct" w:w="0.0"/>
        <w:tblLook w:firstRow="1"/>
        <w:tblCaption w:val="Table 28: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3" w:name="Xf5bd38fa1fb9dfd4e7cefd39104e81e653219ae"/>
      <w:r>
        <w:t xml:space="preserve">Extended: linear regression for air temperatures at vertical racks</w:t>
      </w:r>
      <w:bookmarkEnd w:id="133"/>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30</w:t>
      </w:r>
      <w:r>
        <w:t xml:space="preserve">).</w:t>
      </w:r>
    </w:p>
    <w:p>
      <w:pPr>
        <w:pStyle w:val="BodyText"/>
      </w:pPr>
      <w:r>
        <w:t xml:space="preserve"> </w:t>
      </w:r>
    </w:p>
    <w:p>
      <w:pPr>
        <w:pStyle w:val="CaptionedFigure"/>
      </w:pPr>
      <w:r>
        <w:drawing>
          <wp:inline>
            <wp:extent cx="5504749" cy="5504749"/>
            <wp:effectExtent b="0" l="0" r="0" t="0"/>
            <wp:docPr descr="Figure 30: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30:</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31</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1: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5"/>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31:</w:t>
      </w:r>
      <w:r>
        <w:t xml:space="preserve"> </w:t>
      </w:r>
      <w:r>
        <w:rPr>
          <w:i/>
        </w:rPr>
        <w:t xml:space="preserve">Temperatures recorded in air and water on vertical racks at each research site.</w:t>
      </w:r>
    </w:p>
    <w:p>
      <w:pPr>
        <w:pStyle w:val="BodyText"/>
      </w:pPr>
      <w:r>
        <w:t xml:space="preserve"> </w:t>
      </w:r>
    </w:p>
    <w:p>
      <w:pPr>
        <w:pStyle w:val="Heading8"/>
      </w:pPr>
      <w:bookmarkStart w:id="136" w:name="Xcb91ee272f7dfa22c755b18931f0aed63be860e"/>
      <w:r>
        <w:t xml:space="preserve">Linear regression: air temperature estimation</w:t>
      </w:r>
      <w:bookmarkEnd w:id="136"/>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32</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2: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32:</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29</w:t>
      </w:r>
      <w:r>
        <w:t xml:space="preserve">) with no statistical difference (at 90% confidence) for Cragg Crk, West Leech and the Tunnel (sites 4, 5, 6).</w:t>
      </w:r>
    </w:p>
    <w:p>
      <w:pPr>
        <w:pStyle w:val="BodyText"/>
      </w:pPr>
      <w:r>
        <w:t xml:space="preserve"> </w:t>
      </w:r>
    </w:p>
    <w:p>
      <w:pPr>
        <w:pStyle w:val="TableCaption"/>
      </w:pPr>
      <w:r>
        <w:t xml:space="preserve">Table 29:</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9: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33</w:t>
      </w:r>
      <w:r>
        <w:t xml:space="preserve">). Table</w:t>
      </w:r>
      <w:r>
        <w:t xml:space="preserve"> </w:t>
      </w:r>
      <w:r>
        <w:t xml:space="preserve">30</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30:</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30: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3: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3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39" w:name="results-extended"/>
      <w:r>
        <w:t xml:space="preserve">Results extended</w:t>
      </w:r>
      <w:bookmarkEnd w:id="139"/>
    </w:p>
    <w:p>
      <w:pPr>
        <w:pStyle w:val="Heading8"/>
      </w:pPr>
      <w:bookmarkStart w:id="140" w:name="X91fa14e256c50d3b56fbacfc8ea86d69f0ab7ce"/>
      <w:r>
        <w:t xml:space="preserve">NOM sampling in nested catchments (from Ch.2)</w:t>
      </w:r>
      <w:bookmarkEnd w:id="140"/>
    </w:p>
    <w:p>
      <w:pPr>
        <w:pStyle w:val="FirstParagraph"/>
      </w:pPr>
      <w:r>
        <w:t xml:space="preserve"> </w:t>
      </w:r>
    </w:p>
    <w:p>
      <w:pPr>
        <w:pStyle w:val="CaptionedFigure"/>
      </w:pPr>
      <w:r>
        <w:drawing>
          <wp:inline>
            <wp:extent cx="5504749" cy="5504749"/>
            <wp:effectExtent b="0" l="0" r="0" t="0"/>
            <wp:docPr descr="Figure 34: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34</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34</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35</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5: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3" w:name="possible-trash"/>
      <w:r>
        <w:t xml:space="preserve">possible trash</w:t>
      </w:r>
      <w:bookmarkEnd w:id="143"/>
    </w:p>
    <w:p>
      <w:pPr>
        <w:pStyle w:val="Heading8"/>
      </w:pPr>
      <w:bookmarkStart w:id="144" w:name="spatial-variance-in-doc-concentrations"/>
      <w:r>
        <w:t xml:space="preserve">Spatial variance in DOC concentrations</w:t>
      </w:r>
      <w:bookmarkEnd w:id="144"/>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31</w:t>
      </w:r>
      <w:r>
        <w:t xml:space="preserve">).</w:t>
      </w:r>
    </w:p>
    <w:p>
      <w:pPr>
        <w:pStyle w:val="BodyText"/>
      </w:pPr>
      <w:r>
        <w:t xml:space="preserve"> </w:t>
      </w:r>
    </w:p>
    <w:p>
      <w:pPr>
        <w:pStyle w:val="TableCaption"/>
      </w:pPr>
      <w:r>
        <w:t xml:space="preserve">Table 31:</w:t>
      </w:r>
      <w:r>
        <w:t xml:space="preserve"> </w:t>
      </w:r>
      <w:r>
        <w:rPr>
          <w:i/>
        </w:rPr>
        <w:t xml:space="preserve">Summary of DOC across the six LWSA research sites with each nested catchment classified by basin type.</w:t>
      </w:r>
    </w:p>
    <w:tbl>
      <w:tblPr>
        <w:tblStyle w:val="Table"/>
        <w:tblW w:type="pct" w:w="5000.0"/>
        <w:tblLook w:firstRow="1"/>
        <w:tblCaption w:val="Table 31: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5"/>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32</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32:</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32: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6" w:name="e2e3-over-time"/>
      <w:r>
        <w:t xml:space="preserve">E2E3 over time</w:t>
      </w:r>
      <w:bookmarkEnd w:id="146"/>
    </w:p>
    <w:p>
      <w:pPr>
        <w:pStyle w:val="FirstParagraph"/>
      </w:pPr>
      <w:r>
        <w:t xml:space="preserve"> </w:t>
      </w:r>
    </w:p>
    <w:p>
      <w:pPr>
        <w:pStyle w:val="CaptionedFigure"/>
      </w:pPr>
      <w:r>
        <w:drawing>
          <wp:inline>
            <wp:extent cx="5504749" cy="3669832"/>
            <wp:effectExtent b="0" l="0" r="0" t="0"/>
            <wp:docPr descr="Figure 3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70" w:name="refs"/>
    <w:bookmarkStart w:id="14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48">
        <w:r>
          <w:rPr>
            <w:rStyle w:val="Hyperlink"/>
          </w:rPr>
          <w:t xml:space="preserve">https://doi.org/10.1111/ele.12897</w:t>
        </w:r>
      </w:hyperlink>
      <w:r>
        <w:t xml:space="preserve">.</w:t>
      </w:r>
    </w:p>
    <w:bookmarkEnd w:id="149"/>
    <w:bookmarkStart w:id="15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0">
        <w:r>
          <w:rPr>
            <w:rStyle w:val="Hyperlink"/>
          </w:rPr>
          <w:t xml:space="preserve">https://doi.org/10.1002/j.1551-8833.1995.tb06299.x</w:t>
        </w:r>
      </w:hyperlink>
      <w:r>
        <w:t xml:space="preserve">.</w:t>
      </w:r>
    </w:p>
    <w:bookmarkEnd w:id="151"/>
    <w:bookmarkStart w:id="15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2">
        <w:r>
          <w:rPr>
            <w:rStyle w:val="Hyperlink"/>
          </w:rPr>
          <w:t xml:space="preserve">https://doi.org/10.1021/es103992s</w:t>
        </w:r>
      </w:hyperlink>
      <w:r>
        <w:t xml:space="preserve">.</w:t>
      </w:r>
    </w:p>
    <w:bookmarkEnd w:id="153"/>
    <w:bookmarkStart w:id="15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4">
        <w:r>
          <w:rPr>
            <w:rStyle w:val="Hyperlink"/>
          </w:rPr>
          <w:t xml:space="preserve">https://doi.org/10.1016/j.jhydrol.2014.05.060</w:t>
        </w:r>
      </w:hyperlink>
      <w:r>
        <w:t xml:space="preserve">.</w:t>
      </w:r>
    </w:p>
    <w:bookmarkEnd w:id="155"/>
    <w:bookmarkStart w:id="15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6">
        <w:r>
          <w:rPr>
            <w:rStyle w:val="Hyperlink"/>
          </w:rPr>
          <w:t xml:space="preserve">https://doi.org/10.1029/2007JG000674</w:t>
        </w:r>
      </w:hyperlink>
      <w:r>
        <w:t xml:space="preserve">.</w:t>
      </w:r>
    </w:p>
    <w:bookmarkEnd w:id="157"/>
    <w:bookmarkStart w:id="15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58">
        <w:r>
          <w:rPr>
            <w:rStyle w:val="Hyperlink"/>
          </w:rPr>
          <w:t xml:space="preserve">http://www.standardmethods.org/</w:t>
        </w:r>
      </w:hyperlink>
      <w:r>
        <w:t xml:space="preserve">.</w:t>
      </w:r>
    </w:p>
    <w:bookmarkEnd w:id="159"/>
    <w:bookmarkStart w:id="16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https://doi.org/10.2105/SMWW.2882.113</w:t>
        </w:r>
      </w:hyperlink>
      <w:r>
        <w:t xml:space="preserve">.</w:t>
      </w:r>
    </w:p>
    <w:bookmarkEnd w:id="161"/>
    <w:bookmarkStart w:id="16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2">
        <w:r>
          <w:rPr>
            <w:rStyle w:val="Hyperlink"/>
          </w:rPr>
          <w:t xml:space="preserve">https://doi.org/10.1007/s11749-016-0481-7</w:t>
        </w:r>
      </w:hyperlink>
      <w:r>
        <w:t xml:space="preserve">.</w:t>
      </w:r>
    </w:p>
    <w:bookmarkEnd w:id="163"/>
    <w:bookmarkStart w:id="16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4">
        <w:r>
          <w:rPr>
            <w:rStyle w:val="Hyperlink"/>
          </w:rPr>
          <w:t xml:space="preserve">https://doi.org/10.1201/9780367816377-11</w:t>
        </w:r>
      </w:hyperlink>
      <w:r>
        <w:t xml:space="preserve">.</w:t>
      </w:r>
    </w:p>
    <w:bookmarkEnd w:id="165"/>
    <w:bookmarkStart w:id="167" w:name="ref-BC2019"/>
    <w:p>
      <w:pPr>
        <w:pStyle w:val="Bibliography"/>
      </w:pPr>
      <w:r>
        <w:t xml:space="preserve">British Columbia Ministry of Environment. 2017. “BC Source Drinking Water Quality Guidelines: Guideline Summary.” Victoria, B.C.: Prov. B.C.</w:t>
      </w:r>
      <w:r>
        <w:t xml:space="preserve"> </w:t>
      </w:r>
      <w:hyperlink r:id="rId166">
        <w:r>
          <w:rPr>
            <w:rStyle w:val="Hyperlink"/>
          </w:rPr>
          <w:t xml:space="preserve">https://www2.gov.bc.ca/gov/content/governments/organizational-structure/ministries-organizations/ministries/environment-climate-change</w:t>
        </w:r>
      </w:hyperlink>
      <w:r>
        <w:t xml:space="preserve">.</w:t>
      </w:r>
    </w:p>
    <w:bookmarkEnd w:id="167"/>
    <w:bookmarkStart w:id="168" w:name="ref-CCME2004"/>
    <w:p>
      <w:pPr>
        <w:pStyle w:val="Bibliography"/>
      </w:pPr>
      <w:r>
        <w:t xml:space="preserve">Canadian Council of Ministers of the Environment. 2004. “From source to tap : guidance on the multi-barrier approach to safe drinking water.”</w:t>
      </w:r>
    </w:p>
    <w:bookmarkEnd w:id="168"/>
    <w:bookmarkStart w:id="170" w:name="ref-CRD"/>
    <w:p>
      <w:pPr>
        <w:pStyle w:val="Bibliography"/>
      </w:pPr>
      <w:r>
        <w:t xml:space="preserve">Capital Regional District. n.d. “Facts and Figures for the Greater Victoria Water Supply Area.” Accessed July 13, 2018.</w:t>
      </w:r>
      <w:r>
        <w:t xml:space="preserve"> </w:t>
      </w:r>
      <w:hyperlink r:id="rId169">
        <w:r>
          <w:rPr>
            <w:rStyle w:val="Hyperlink"/>
          </w:rPr>
          <w:t xml:space="preserve">https://www.crd.bc.ca/service/public-tours/watershed-tours/facts-figures</w:t>
        </w:r>
      </w:hyperlink>
      <w:r>
        <w:t xml:space="preserve">.</w:t>
      </w:r>
    </w:p>
    <w:bookmarkEnd w:id="170"/>
    <w:bookmarkStart w:id="17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1"/>
    <w:bookmarkStart w:id="17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2">
        <w:r>
          <w:rPr>
            <w:rStyle w:val="Hyperlink"/>
          </w:rPr>
          <w:t xml:space="preserve">https://doi.org/10.2166/aqua.2008.064</w:t>
        </w:r>
      </w:hyperlink>
      <w:r>
        <w:t xml:space="preserve">.</w:t>
      </w:r>
    </w:p>
    <w:bookmarkEnd w:id="173"/>
    <w:bookmarkStart w:id="17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4">
        <w:r>
          <w:rPr>
            <w:rStyle w:val="Hyperlink"/>
          </w:rPr>
          <w:t xml:space="preserve">https://doi.org/10.1007/978-94-007-1363-5</w:t>
        </w:r>
      </w:hyperlink>
      <w:r>
        <w:t xml:space="preserve">.</w:t>
      </w:r>
    </w:p>
    <w:bookmarkEnd w:id="175"/>
    <w:bookmarkStart w:id="177" w:name="ref-CapitalRegionDistrict2017"/>
    <w:p>
      <w:pPr>
        <w:pStyle w:val="Bibliography"/>
      </w:pPr>
      <w:r>
        <w:t xml:space="preserve">CRD. 2017. “Regional Water Supply 2017 Strategic Plan.” Victoria, B.C.: Capital Region District, Integrated Water Services.</w:t>
      </w:r>
      <w:r>
        <w:t xml:space="preserve"> </w:t>
      </w:r>
      <w:hyperlink r:id="rId176">
        <w:r>
          <w:rPr>
            <w:rStyle w:val="Hyperlink"/>
          </w:rPr>
          <w:t xml:space="preserve">https://www.crd.bc.ca/project/past-capital-projects-and-initiatives/water-supply-plan</w:t>
        </w:r>
      </w:hyperlink>
      <w:r>
        <w:t xml:space="preserve">.</w:t>
      </w:r>
    </w:p>
    <w:bookmarkEnd w:id="177"/>
    <w:bookmarkStart w:id="17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8">
        <w:r>
          <w:rPr>
            <w:rStyle w:val="Hyperlink"/>
          </w:rPr>
          <w:t xml:space="preserve">https://doi.org/IWSS-297445977-5079</w:t>
        </w:r>
      </w:hyperlink>
      <w:r>
        <w:t xml:space="preserve">.</w:t>
      </w:r>
    </w:p>
    <w:bookmarkEnd w:id="179"/>
    <w:bookmarkStart w:id="18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0">
        <w:r>
          <w:rPr>
            <w:rStyle w:val="Hyperlink"/>
          </w:rPr>
          <w:t xml:space="preserve">https://doi.org/10.1139/cjfas-2014-0400</w:t>
        </w:r>
      </w:hyperlink>
      <w:r>
        <w:t xml:space="preserve">.</w:t>
      </w:r>
    </w:p>
    <w:bookmarkEnd w:id="181"/>
    <w:bookmarkStart w:id="183"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2">
        <w:r>
          <w:rPr>
            <w:rStyle w:val="Hyperlink"/>
          </w:rPr>
          <w:t xml:space="preserve">https://doi.org/10.1016/B978-0-12-382092-1.00019-1</w:t>
        </w:r>
      </w:hyperlink>
      <w:r>
        <w:t xml:space="preserve">.</w:t>
      </w:r>
    </w:p>
    <w:bookmarkEnd w:id="183"/>
    <w:bookmarkStart w:id="18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4">
        <w:r>
          <w:rPr>
            <w:rStyle w:val="Hyperlink"/>
          </w:rPr>
          <w:t xml:space="preserve">https://doi.org/10.1016/j.watres.2016.08.031</w:t>
        </w:r>
      </w:hyperlink>
      <w:r>
        <w:t xml:space="preserve">.</w:t>
      </w:r>
    </w:p>
    <w:bookmarkEnd w:id="185"/>
    <w:bookmarkStart w:id="187" w:name="ref-Diehl2007"/>
    <w:p>
      <w:pPr>
        <w:pStyle w:val="Bibliography"/>
      </w:pPr>
      <w:r>
        <w:t xml:space="preserve">Diehl, Timothy H. 2007. “A Modified Siphon Sampler for Shallow Water.” U.S. Department of the Interior, U.S. Geological Survey.</w:t>
      </w:r>
      <w:r>
        <w:t xml:space="preserve"> </w:t>
      </w:r>
      <w:hyperlink r:id="rId186">
        <w:r>
          <w:rPr>
            <w:rStyle w:val="Hyperlink"/>
          </w:rPr>
          <w:t xml:space="preserve">https://pubs.er.usgs.gov/publication/sir20075282</w:t>
        </w:r>
      </w:hyperlink>
      <w:r>
        <w:t xml:space="preserve">.</w:t>
      </w:r>
    </w:p>
    <w:bookmarkEnd w:id="187"/>
    <w:bookmarkStart w:id="18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8">
        <w:r>
          <w:rPr>
            <w:rStyle w:val="Hyperlink"/>
          </w:rPr>
          <w:t xml:space="preserve">http://scholar.google.com/scholar?hl=en{\&amp;}btnG=Search{\&amp;}q=intitle:Running+Pure{\#}1</w:t>
        </w:r>
      </w:hyperlink>
      <w:r>
        <w:t xml:space="preserve">.</w:t>
      </w:r>
    </w:p>
    <w:bookmarkEnd w:id="189"/>
    <w:bookmarkStart w:id="19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0">
        <w:r>
          <w:rPr>
            <w:rStyle w:val="Hyperlink"/>
          </w:rPr>
          <w:t xml:space="preserve">https://doi.org/10.1016/j.watres.2010.08.051</w:t>
        </w:r>
      </w:hyperlink>
      <w:r>
        <w:t xml:space="preserve">.</w:t>
      </w:r>
    </w:p>
    <w:bookmarkEnd w:id="191"/>
    <w:bookmarkStart w:id="192" w:name="ref-Epps1994"/>
    <w:p>
      <w:pPr>
        <w:pStyle w:val="Bibliography"/>
      </w:pPr>
      <w:r>
        <w:t xml:space="preserve">Epps, Deborah Norine. 1994. “Factors Affecting Disinfection By-Products from Surface Source Waters on Vancouver Island.” Master of Science, University of Victoria.</w:t>
      </w:r>
    </w:p>
    <w:bookmarkEnd w:id="192"/>
    <w:bookmarkStart w:id="19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3">
        <w:r>
          <w:rPr>
            <w:rStyle w:val="Hyperlink"/>
          </w:rPr>
          <w:t xml:space="preserve">https://doi.org/10.3133/fs06700</w:t>
        </w:r>
      </w:hyperlink>
      <w:r>
        <w:t xml:space="preserve">.</w:t>
      </w:r>
    </w:p>
    <w:bookmarkEnd w:id="194"/>
    <w:bookmarkStart w:id="196"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5">
        <w:r>
          <w:rPr>
            <w:rStyle w:val="Hyperlink"/>
          </w:rPr>
          <w:t xml:space="preserve">https://doi.org/10.13031/2013.15662</w:t>
        </w:r>
      </w:hyperlink>
      <w:r>
        <w:t xml:space="preserve">.</w:t>
      </w:r>
    </w:p>
    <w:bookmarkEnd w:id="196"/>
    <w:bookmarkStart w:id="198" w:name="ref-HealthCanada2019"/>
    <w:p>
      <w:pPr>
        <w:pStyle w:val="Bibliography"/>
      </w:pPr>
      <w:r>
        <w:t xml:space="preserve">Health Canada. 2019a. “Guidance on Natural Organic Matter in Drinking Water.”</w:t>
      </w:r>
      <w:r>
        <w:t xml:space="preserve"> </w:t>
      </w:r>
      <w:hyperlink r:id="rId197">
        <w:r>
          <w:rPr>
            <w:rStyle w:val="Hyperlink"/>
          </w:rPr>
          <w:t xml:space="preserve">https://www.canada.ca/content/dam/hc-sc/documents/programs/consultation-organic-matter-drinking-water/NOM20190129-eng.pdf</w:t>
        </w:r>
      </w:hyperlink>
      <w:r>
        <w:t xml:space="preserve">.</w:t>
      </w:r>
    </w:p>
    <w:bookmarkEnd w:id="198"/>
    <w:bookmarkStart w:id="200"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99">
        <w:r>
          <w:rPr>
            <w:rStyle w:val="Hyperlink"/>
          </w:rPr>
          <w:t xml:space="preserve">https://www.canada.ca/content/dam/hc-sc/migration/hc-sc/ewh-semt/alt{\_}formats/pdf/pubs/water-eau/sum{\_}guide-res{\_}recom/summary-table-August-15-2019-eng.pdf</w:t>
        </w:r>
      </w:hyperlink>
      <w:r>
        <w:t xml:space="preserve">.</w:t>
      </w:r>
    </w:p>
    <w:bookmarkEnd w:id="200"/>
    <w:bookmarkStart w:id="202" w:name="ref-HealthCanada2006"/>
    <w:p>
      <w:pPr>
        <w:pStyle w:val="Bibliography"/>
      </w:pPr>
      <w:r>
        <w:t xml:space="preserve">HealthCanada. 2006. “Drinking Water Chlorination.”</w:t>
      </w:r>
      <w:r>
        <w:t xml:space="preserve"> </w:t>
      </w:r>
      <w:hyperlink r:id="rId201">
        <w:r>
          <w:rPr>
            <w:rStyle w:val="Hyperlink"/>
          </w:rPr>
          <w:t xml:space="preserve">https://www.canada.ca/en/health-canada/services/healthy-living/your-health/environment/drinking-water-chlorination.html</w:t>
        </w:r>
      </w:hyperlink>
      <w:r>
        <w:t xml:space="preserve">.</w:t>
      </w:r>
    </w:p>
    <w:bookmarkEnd w:id="202"/>
    <w:bookmarkStart w:id="204" w:name="ref-HealthLinkBC2018"/>
    <w:p>
      <w:pPr>
        <w:pStyle w:val="Bibliography"/>
      </w:pPr>
      <w:r>
        <w:t xml:space="preserve">HealthLinkBC. 2018. “Drinking Water Chlorination,” no. 49.</w:t>
      </w:r>
      <w:r>
        <w:t xml:space="preserve"> </w:t>
      </w:r>
      <w:hyperlink r:id="rId203">
        <w:r>
          <w:rPr>
            <w:rStyle w:val="Hyperlink"/>
          </w:rPr>
          <w:t xml:space="preserve">https://www.healthlinkbc.ca/healthlinkbc-files/drinking-water-chlorination</w:t>
        </w:r>
      </w:hyperlink>
      <w:r>
        <w:t xml:space="preserve">.</w:t>
      </w:r>
    </w:p>
    <w:bookmarkEnd w:id="204"/>
    <w:bookmarkStart w:id="206"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5">
        <w:r>
          <w:rPr>
            <w:rStyle w:val="Hyperlink"/>
          </w:rPr>
          <w:t xml:space="preserve">https://www.jstor.org/stable/40058211</w:t>
        </w:r>
      </w:hyperlink>
      <w:r>
        <w:t xml:space="preserve">.</w:t>
      </w:r>
    </w:p>
    <w:bookmarkEnd w:id="206"/>
    <w:bookmarkStart w:id="20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07">
        <w:r>
          <w:rPr>
            <w:rStyle w:val="Hyperlink"/>
          </w:rPr>
          <w:t xml:space="preserve">https://doi.org/10.1002/j.1551-8833.1995.tb06302.x</w:t>
        </w:r>
      </w:hyperlink>
      <w:r>
        <w:t xml:space="preserve">.</w:t>
      </w:r>
    </w:p>
    <w:bookmarkEnd w:id="208"/>
    <w:bookmarkStart w:id="21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09">
        <w:r>
          <w:rPr>
            <w:rStyle w:val="Hyperlink"/>
          </w:rPr>
          <w:t xml:space="preserve">https://doi.org/doi:10.1046/j.1365-2427.1997.d01-539.x</w:t>
        </w:r>
      </w:hyperlink>
      <w:r>
        <w:t xml:space="preserve">.</w:t>
      </w:r>
    </w:p>
    <w:bookmarkEnd w:id="210"/>
    <w:bookmarkStart w:id="212"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1">
        <w:r>
          <w:rPr>
            <w:rStyle w:val="Hyperlink"/>
          </w:rPr>
          <w:t xml:space="preserve">https://www.jstor.org/stable/41311011</w:t>
        </w:r>
      </w:hyperlink>
      <w:r>
        <w:t xml:space="preserve">.</w:t>
      </w:r>
    </w:p>
    <w:bookmarkEnd w:id="212"/>
    <w:bookmarkStart w:id="214"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3">
        <w:r>
          <w:rPr>
            <w:rStyle w:val="Hyperlink"/>
          </w:rPr>
          <w:t xml:space="preserve">https://doi.org/10.1002/j.1551-8833.2002.tb10250.x</w:t>
        </w:r>
      </w:hyperlink>
      <w:r>
        <w:t xml:space="preserve">.</w:t>
      </w:r>
    </w:p>
    <w:bookmarkEnd w:id="214"/>
    <w:bookmarkStart w:id="216"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15">
        <w:r>
          <w:rPr>
            <w:rStyle w:val="Hyperlink"/>
          </w:rPr>
          <w:t xml:space="preserve">https://doi.org/10.1029/2005WR004362</w:t>
        </w:r>
      </w:hyperlink>
      <w:r>
        <w:t xml:space="preserve">.</w:t>
      </w:r>
    </w:p>
    <w:bookmarkEnd w:id="216"/>
    <w:bookmarkStart w:id="21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17">
        <w:r>
          <w:rPr>
            <w:rStyle w:val="Hyperlink"/>
          </w:rPr>
          <w:t xml:space="preserve">https://archive.org/details/metaltransportre00lazeuoft/mode/2up</w:t>
        </w:r>
      </w:hyperlink>
      <w:r>
        <w:t xml:space="preserve">.</w:t>
      </w:r>
    </w:p>
    <w:bookmarkEnd w:id="218"/>
    <w:bookmarkStart w:id="22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19">
        <w:r>
          <w:rPr>
            <w:rStyle w:val="Hyperlink"/>
          </w:rPr>
          <w:t xml:space="preserve">https://doi.org/10.1016/j.jhazmat.2014.02.009</w:t>
        </w:r>
      </w:hyperlink>
      <w:r>
        <w:t xml:space="preserve">.</w:t>
      </w:r>
    </w:p>
    <w:bookmarkEnd w:id="220"/>
    <w:bookmarkStart w:id="222"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1">
        <w:r>
          <w:rPr>
            <w:rStyle w:val="Hyperlink"/>
          </w:rPr>
          <w:t xml:space="preserve">https://doi.org/10.1002/rra.1504</w:t>
        </w:r>
      </w:hyperlink>
      <w:r>
        <w:t xml:space="preserve">.</w:t>
      </w:r>
    </w:p>
    <w:bookmarkEnd w:id="222"/>
    <w:bookmarkStart w:id="22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3">
        <w:r>
          <w:rPr>
            <w:rStyle w:val="Hyperlink"/>
          </w:rPr>
          <w:t xml:space="preserve">https://doi.org/10.1016/j.chemosphere.2011.01.018</w:t>
        </w:r>
      </w:hyperlink>
      <w:r>
        <w:t xml:space="preserve">.</w:t>
      </w:r>
    </w:p>
    <w:bookmarkEnd w:id="224"/>
    <w:bookmarkStart w:id="226"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5">
        <w:r>
          <w:rPr>
            <w:rStyle w:val="Hyperlink"/>
          </w:rPr>
          <w:t xml:space="preserve">https://doi.org/10.1016/j.cis.2010.06.007</w:t>
        </w:r>
      </w:hyperlink>
      <w:r>
        <w:t xml:space="preserve">.</w:t>
      </w:r>
    </w:p>
    <w:bookmarkEnd w:id="226"/>
    <w:bookmarkStart w:id="22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27">
        <w:r>
          <w:rPr>
            <w:rStyle w:val="Hyperlink"/>
          </w:rPr>
          <w:t xml:space="preserve">https://www.jstor.org/stable/1937326</w:t>
        </w:r>
      </w:hyperlink>
      <w:r>
        <w:t xml:space="preserve">.</w:t>
      </w:r>
    </w:p>
    <w:bookmarkEnd w:id="228"/>
    <w:bookmarkStart w:id="229"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29"/>
    <w:bookmarkStart w:id="231"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0">
        <w:r>
          <w:rPr>
            <w:rStyle w:val="Hyperlink"/>
          </w:rPr>
          <w:t xml:space="preserve">https://doi.org/10.1007/s10533-015-0103-6</w:t>
        </w:r>
      </w:hyperlink>
      <w:r>
        <w:t xml:space="preserve">.</w:t>
      </w:r>
    </w:p>
    <w:bookmarkEnd w:id="231"/>
    <w:bookmarkStart w:id="23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2">
        <w:r>
          <w:rPr>
            <w:rStyle w:val="Hyperlink"/>
          </w:rPr>
          <w:t xml:space="preserve">http://hdl.handle.net/1885/40940</w:t>
        </w:r>
      </w:hyperlink>
      <w:r>
        <w:t xml:space="preserve">.</w:t>
      </w:r>
    </w:p>
    <w:bookmarkEnd w:id="233"/>
    <w:bookmarkStart w:id="23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4">
        <w:r>
          <w:rPr>
            <w:rStyle w:val="Hyperlink"/>
          </w:rPr>
          <w:t xml:space="preserve">https://doi.org/10.5194/bg-10-2315-2013</w:t>
        </w:r>
      </w:hyperlink>
      <w:r>
        <w:t xml:space="preserve">.</w:t>
      </w:r>
    </w:p>
    <w:bookmarkEnd w:id="235"/>
    <w:bookmarkStart w:id="23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6">
        <w:r>
          <w:rPr>
            <w:rStyle w:val="Hyperlink"/>
          </w:rPr>
          <w:t xml:space="preserve">http://www.jstor.com/stable/41295152</w:t>
        </w:r>
      </w:hyperlink>
      <w:r>
        <w:t xml:space="preserve">.</w:t>
      </w:r>
    </w:p>
    <w:bookmarkEnd w:id="237"/>
    <w:bookmarkStart w:id="23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38">
        <w:r>
          <w:rPr>
            <w:rStyle w:val="Hyperlink"/>
          </w:rPr>
          <w:t xml:space="preserve">https://doi.org/10.1007/s11270-013-1651-9</w:t>
        </w:r>
      </w:hyperlink>
      <w:r>
        <w:t xml:space="preserve">.</w:t>
      </w:r>
    </w:p>
    <w:bookmarkEnd w:id="239"/>
    <w:bookmarkStart w:id="24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0">
        <w:r>
          <w:rPr>
            <w:rStyle w:val="Hyperlink"/>
          </w:rPr>
          <w:t xml:space="preserve">https://doi.org/10.1016/S0003-2670(96)00412-6</w:t>
        </w:r>
      </w:hyperlink>
      <w:r>
        <w:t xml:space="preserve">.</w:t>
      </w:r>
    </w:p>
    <w:bookmarkEnd w:id="241"/>
    <w:bookmarkStart w:id="24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2">
        <w:r>
          <w:rPr>
            <w:rStyle w:val="Hyperlink"/>
          </w:rPr>
          <w:t xml:space="preserve">https://www.for.gov.bc.ca/hfd/pubs/docs/lmh/Lmh66/LMH66{\_}volume2of2.pdf</w:t>
        </w:r>
      </w:hyperlink>
      <w:r>
        <w:t xml:space="preserve">.</w:t>
      </w:r>
    </w:p>
    <w:bookmarkEnd w:id="243"/>
    <w:bookmarkStart w:id="24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4"/>
    <w:bookmarkStart w:id="24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5">
        <w:r>
          <w:rPr>
            <w:rStyle w:val="Hyperlink"/>
          </w:rPr>
          <w:t xml:space="preserve">https://doi.org/10.1007/sl0533-010-9416-7</w:t>
        </w:r>
      </w:hyperlink>
      <w:r>
        <w:t xml:space="preserve">.</w:t>
      </w:r>
    </w:p>
    <w:bookmarkEnd w:id="246"/>
    <w:bookmarkStart w:id="24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47">
        <w:r>
          <w:rPr>
            <w:rStyle w:val="Hyperlink"/>
          </w:rPr>
          <w:t xml:space="preserve">https://www.jstor.org/stable/24702986</w:t>
        </w:r>
      </w:hyperlink>
      <w:r>
        <w:t xml:space="preserve">.</w:t>
      </w:r>
    </w:p>
    <w:bookmarkEnd w:id="248"/>
    <w:bookmarkStart w:id="25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49">
        <w:r>
          <w:rPr>
            <w:rStyle w:val="Hyperlink"/>
          </w:rPr>
          <w:t xml:space="preserve">https://doi.org/10.1016/j.scitotenv.2016.09.113</w:t>
        </w:r>
      </w:hyperlink>
      <w:r>
        <w:t xml:space="preserve">.</w:t>
      </w:r>
    </w:p>
    <w:bookmarkEnd w:id="250"/>
    <w:bookmarkStart w:id="25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1">
        <w:r>
          <w:rPr>
            <w:rStyle w:val="Hyperlink"/>
          </w:rPr>
          <w:t xml:space="preserve">https://doi.org/10.1111/j.1365-2427.2011.02613.x</w:t>
        </w:r>
      </w:hyperlink>
      <w:r>
        <w:t xml:space="preserve">.</w:t>
      </w:r>
    </w:p>
    <w:bookmarkEnd w:id="252"/>
    <w:bookmarkStart w:id="25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53">
        <w:r>
          <w:rPr>
            <w:rStyle w:val="Hyperlink"/>
          </w:rPr>
          <w:t xml:space="preserve">https://doi.org/10.1186/1471-2105-9-307</w:t>
        </w:r>
      </w:hyperlink>
      <w:r>
        <w:t xml:space="preserve">.</w:t>
      </w:r>
    </w:p>
    <w:bookmarkEnd w:id="254"/>
    <w:bookmarkStart w:id="25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55">
        <w:r>
          <w:rPr>
            <w:rStyle w:val="Hyperlink"/>
          </w:rPr>
          <w:t xml:space="preserve">https://doi.org/10.1037/a0016973</w:t>
        </w:r>
      </w:hyperlink>
      <w:r>
        <w:t xml:space="preserve">.</w:t>
      </w:r>
    </w:p>
    <w:bookmarkEnd w:id="256"/>
    <w:bookmarkStart w:id="25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57">
        <w:r>
          <w:rPr>
            <w:rStyle w:val="Hyperlink"/>
          </w:rPr>
          <w:t xml:space="preserve">https://doi.org/10.1016/j.jenvman.2007.03.001</w:t>
        </w:r>
      </w:hyperlink>
      <w:r>
        <w:t xml:space="preserve">.</w:t>
      </w:r>
    </w:p>
    <w:bookmarkEnd w:id="258"/>
    <w:bookmarkStart w:id="259"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59"/>
    <w:bookmarkStart w:id="26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0"/>
    <w:bookmarkStart w:id="26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1"/>
    <w:bookmarkStart w:id="26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2">
        <w:r>
          <w:rPr>
            <w:rStyle w:val="Hyperlink"/>
          </w:rPr>
          <w:t xml:space="preserve">https://doi.org/10.1007/s10533-008-9207-6</w:t>
        </w:r>
      </w:hyperlink>
      <w:r>
        <w:t xml:space="preserve">.</w:t>
      </w:r>
    </w:p>
    <w:bookmarkEnd w:id="263"/>
    <w:bookmarkStart w:id="26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64">
        <w:r>
          <w:rPr>
            <w:rStyle w:val="Hyperlink"/>
          </w:rPr>
          <w:t xml:space="preserve">https://doi.org/10.1021/es030360x</w:t>
        </w:r>
      </w:hyperlink>
      <w:r>
        <w:t xml:space="preserve">.</w:t>
      </w:r>
    </w:p>
    <w:bookmarkEnd w:id="265"/>
    <w:bookmarkStart w:id="26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66">
        <w:r>
          <w:rPr>
            <w:rStyle w:val="Hyperlink"/>
          </w:rPr>
          <w:t xml:space="preserve">https://doi.org/10.1007/s11356-015-4078-6</w:t>
        </w:r>
      </w:hyperlink>
      <w:r>
        <w:t xml:space="preserve">.</w:t>
      </w:r>
    </w:p>
    <w:bookmarkEnd w:id="267"/>
    <w:bookmarkStart w:id="26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8">
        <w:r>
          <w:rPr>
            <w:rStyle w:val="Hyperlink"/>
          </w:rPr>
          <w:t xml:space="preserve">https://doi.org/10.1029/2018GL080005</w:t>
        </w:r>
      </w:hyperlink>
      <w:r>
        <w:t xml:space="preserve">.</w:t>
      </w:r>
    </w:p>
    <w:bookmarkEnd w:id="269"/>
    <w:bookmarkEnd w:id="270"/>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5">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16" Target="media/rId116.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97" Target="media/rId97.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03" Target="media/rId103.png" /><Relationship Type="http://schemas.openxmlformats.org/officeDocument/2006/relationships/image" Id="rId123" Target="media/rId123.png" /><Relationship Type="http://schemas.openxmlformats.org/officeDocument/2006/relationships/hyperlink" Id="rId232" Target="http://hdl.handle.net/1885/40940" TargetMode="External" /><Relationship Type="http://schemas.openxmlformats.org/officeDocument/2006/relationships/hyperlink" Id="rId188" Target="http://scholar.google.com/scholar?hl=en%7B\&amp;%7DbtnG=Search%7B\&amp;%7Dq=intitle:Running+Pure%7B\#%7D1" TargetMode="External" /><Relationship Type="http://schemas.openxmlformats.org/officeDocument/2006/relationships/hyperlink" Id="rId236"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17"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07" Target="https://doi.org/10.1002/j.1551-8833.1995.tb06302.x" TargetMode="External" /><Relationship Type="http://schemas.openxmlformats.org/officeDocument/2006/relationships/hyperlink" Id="rId213" Target="https://doi.org/10.1002/j.1551-8833.2002.tb10250.x" TargetMode="External" /><Relationship Type="http://schemas.openxmlformats.org/officeDocument/2006/relationships/hyperlink" Id="rId221"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2" Target="https://doi.org/10.1007/s10533-008-9207-6" TargetMode="External" /><Relationship Type="http://schemas.openxmlformats.org/officeDocument/2006/relationships/hyperlink" Id="rId230" Target="https://doi.org/10.1007/s10533-015-0103-6" TargetMode="External" /><Relationship Type="http://schemas.openxmlformats.org/officeDocument/2006/relationships/hyperlink" Id="rId238" Target="https://doi.org/10.1007/s11270-013-1651-9" TargetMode="External" /><Relationship Type="http://schemas.openxmlformats.org/officeDocument/2006/relationships/hyperlink" Id="rId266"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5" Target="https://doi.org/10.1007/sl0533-010-9416-7" TargetMode="External" /><Relationship Type="http://schemas.openxmlformats.org/officeDocument/2006/relationships/hyperlink" Id="rId182" Target="https://doi.org/10.1016/B978-0-12-382092-1.00019-1" TargetMode="External" /><Relationship Type="http://schemas.openxmlformats.org/officeDocument/2006/relationships/hyperlink" Id="rId240" Target="https://doi.org/10.1016/S0003-2670(96)00412-6" TargetMode="External" /><Relationship Type="http://schemas.openxmlformats.org/officeDocument/2006/relationships/hyperlink" Id="rId223" Target="https://doi.org/10.1016/j.chemosphere.2011.01.018" TargetMode="External" /><Relationship Type="http://schemas.openxmlformats.org/officeDocument/2006/relationships/hyperlink" Id="rId225" Target="https://doi.org/10.1016/j.cis.2010.06.007" TargetMode="External" /><Relationship Type="http://schemas.openxmlformats.org/officeDocument/2006/relationships/hyperlink" Id="rId257" Target="https://doi.org/10.1016/j.jenvman.2007.03.001" TargetMode="External" /><Relationship Type="http://schemas.openxmlformats.org/officeDocument/2006/relationships/hyperlink" Id="rId219"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49" Target="https://doi.org/10.1016/j.scitotenv.2016.09.113" TargetMode="External" /><Relationship Type="http://schemas.openxmlformats.org/officeDocument/2006/relationships/hyperlink" Id="rId190" Target="https://doi.org/10.1016/j.watres.2010.08.051" TargetMode="External" /><Relationship Type="http://schemas.openxmlformats.org/officeDocument/2006/relationships/hyperlink" Id="rId184" Target="https://doi.org/10.1016/j.watres.2016.08.031" TargetMode="External" /><Relationship Type="http://schemas.openxmlformats.org/officeDocument/2006/relationships/hyperlink" Id="rId264"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5"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8" Target="https://doi.org/10.1029/2018GL080005" TargetMode="External" /><Relationship Type="http://schemas.openxmlformats.org/officeDocument/2006/relationships/hyperlink" Id="rId255" Target="https://doi.org/10.1037/a0016973" TargetMode="External" /><Relationship Type="http://schemas.openxmlformats.org/officeDocument/2006/relationships/hyperlink" Id="rId148" Target="https://doi.org/10.1111/ele.12897" TargetMode="External" /><Relationship Type="http://schemas.openxmlformats.org/officeDocument/2006/relationships/hyperlink" Id="rId251" Target="https://doi.org/10.1111/j.1365-2427.2011.02613.x" TargetMode="External" /><Relationship Type="http://schemas.openxmlformats.org/officeDocument/2006/relationships/hyperlink" Id="rId180" Target="https://doi.org/10.1139/cjfas-2014-0400" TargetMode="External" /><Relationship Type="http://schemas.openxmlformats.org/officeDocument/2006/relationships/hyperlink" Id="rId253" Target="https://doi.org/10.1186/1471-2105-9-307" TargetMode="External" /><Relationship Type="http://schemas.openxmlformats.org/officeDocument/2006/relationships/hyperlink" Id="rId164"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234"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09" Target="https://doi.org/doi:10.1046/j.1365-2427.1997.d01-539.x" TargetMode="External" /><Relationship Type="http://schemas.openxmlformats.org/officeDocument/2006/relationships/hyperlink" Id="rId186"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169" Target="https://www.crd.bc.ca/service/public-tours/watershed-tours/facts-figures" TargetMode="External" /><Relationship Type="http://schemas.openxmlformats.org/officeDocument/2006/relationships/hyperlink" Id="rId24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7" Target="https://www.jstor.org/stable/1937326" TargetMode="External" /><Relationship Type="http://schemas.openxmlformats.org/officeDocument/2006/relationships/hyperlink" Id="rId247"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1"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2" Target="http://hdl.handle.net/1885/40940" TargetMode="External" /><Relationship Type="http://schemas.openxmlformats.org/officeDocument/2006/relationships/hyperlink" Id="rId188" Target="http://scholar.google.com/scholar?hl=en%7B\&amp;%7DbtnG=Search%7B\&amp;%7Dq=intitle:Running+Pure%7B\#%7D1" TargetMode="External" /><Relationship Type="http://schemas.openxmlformats.org/officeDocument/2006/relationships/hyperlink" Id="rId236" Target="http://www.jstor.com/stable/41295152" TargetMode="External" /><Relationship Type="http://schemas.openxmlformats.org/officeDocument/2006/relationships/hyperlink" Id="rId158" Target="http://www.standardmethods.org/" TargetMode="External" /><Relationship Type="http://schemas.openxmlformats.org/officeDocument/2006/relationships/hyperlink" Id="rId217" Target="https://archive.org/details/metaltransportre00lazeuoft/mode/2up" TargetMode="External" /><Relationship Type="http://schemas.openxmlformats.org/officeDocument/2006/relationships/hyperlink" Id="rId150" Target="https://doi.org/10.1002/j.1551-8833.1995.tb06299.x" TargetMode="External" /><Relationship Type="http://schemas.openxmlformats.org/officeDocument/2006/relationships/hyperlink" Id="rId207" Target="https://doi.org/10.1002/j.1551-8833.1995.tb06302.x" TargetMode="External" /><Relationship Type="http://schemas.openxmlformats.org/officeDocument/2006/relationships/hyperlink" Id="rId213" Target="https://doi.org/10.1002/j.1551-8833.2002.tb10250.x" TargetMode="External" /><Relationship Type="http://schemas.openxmlformats.org/officeDocument/2006/relationships/hyperlink" Id="rId221" Target="https://doi.org/10.1002/rra.1504" TargetMode="External" /><Relationship Type="http://schemas.openxmlformats.org/officeDocument/2006/relationships/hyperlink" Id="rId174" Target="https://doi.org/10.1007/978-94-007-1363-5" TargetMode="External" /><Relationship Type="http://schemas.openxmlformats.org/officeDocument/2006/relationships/hyperlink" Id="rId262" Target="https://doi.org/10.1007/s10533-008-9207-6" TargetMode="External" /><Relationship Type="http://schemas.openxmlformats.org/officeDocument/2006/relationships/hyperlink" Id="rId230" Target="https://doi.org/10.1007/s10533-015-0103-6" TargetMode="External" /><Relationship Type="http://schemas.openxmlformats.org/officeDocument/2006/relationships/hyperlink" Id="rId238" Target="https://doi.org/10.1007/s11270-013-1651-9" TargetMode="External" /><Relationship Type="http://schemas.openxmlformats.org/officeDocument/2006/relationships/hyperlink" Id="rId266" Target="https://doi.org/10.1007/s11356-015-4078-6" TargetMode="External" /><Relationship Type="http://schemas.openxmlformats.org/officeDocument/2006/relationships/hyperlink" Id="rId162" Target="https://doi.org/10.1007/s11749-016-0481-7" TargetMode="External" /><Relationship Type="http://schemas.openxmlformats.org/officeDocument/2006/relationships/hyperlink" Id="rId245" Target="https://doi.org/10.1007/sl0533-010-9416-7" TargetMode="External" /><Relationship Type="http://schemas.openxmlformats.org/officeDocument/2006/relationships/hyperlink" Id="rId182" Target="https://doi.org/10.1016/B978-0-12-382092-1.00019-1" TargetMode="External" /><Relationship Type="http://schemas.openxmlformats.org/officeDocument/2006/relationships/hyperlink" Id="rId240" Target="https://doi.org/10.1016/S0003-2670(96)00412-6" TargetMode="External" /><Relationship Type="http://schemas.openxmlformats.org/officeDocument/2006/relationships/hyperlink" Id="rId223" Target="https://doi.org/10.1016/j.chemosphere.2011.01.018" TargetMode="External" /><Relationship Type="http://schemas.openxmlformats.org/officeDocument/2006/relationships/hyperlink" Id="rId225" Target="https://doi.org/10.1016/j.cis.2010.06.007" TargetMode="External" /><Relationship Type="http://schemas.openxmlformats.org/officeDocument/2006/relationships/hyperlink" Id="rId257" Target="https://doi.org/10.1016/j.jenvman.2007.03.001" TargetMode="External" /><Relationship Type="http://schemas.openxmlformats.org/officeDocument/2006/relationships/hyperlink" Id="rId219" Target="https://doi.org/10.1016/j.jhazmat.2014.02.009" TargetMode="External" /><Relationship Type="http://schemas.openxmlformats.org/officeDocument/2006/relationships/hyperlink" Id="rId154" Target="https://doi.org/10.1016/j.jhydrol.2014.05.060" TargetMode="External" /><Relationship Type="http://schemas.openxmlformats.org/officeDocument/2006/relationships/hyperlink" Id="rId249" Target="https://doi.org/10.1016/j.scitotenv.2016.09.113" TargetMode="External" /><Relationship Type="http://schemas.openxmlformats.org/officeDocument/2006/relationships/hyperlink" Id="rId190" Target="https://doi.org/10.1016/j.watres.2010.08.051" TargetMode="External" /><Relationship Type="http://schemas.openxmlformats.org/officeDocument/2006/relationships/hyperlink" Id="rId184" Target="https://doi.org/10.1016/j.watres.2016.08.031" TargetMode="External" /><Relationship Type="http://schemas.openxmlformats.org/officeDocument/2006/relationships/hyperlink" Id="rId264" Target="https://doi.org/10.1021/es030360x" TargetMode="External" /><Relationship Type="http://schemas.openxmlformats.org/officeDocument/2006/relationships/hyperlink" Id="rId152" Target="https://doi.org/10.1021/es103992s" TargetMode="External" /><Relationship Type="http://schemas.openxmlformats.org/officeDocument/2006/relationships/hyperlink" Id="rId215" Target="https://doi.org/10.1029/2005WR004362" TargetMode="External" /><Relationship Type="http://schemas.openxmlformats.org/officeDocument/2006/relationships/hyperlink" Id="rId156" Target="https://doi.org/10.1029/2007JG000674" TargetMode="External" /><Relationship Type="http://schemas.openxmlformats.org/officeDocument/2006/relationships/hyperlink" Id="rId268" Target="https://doi.org/10.1029/2018GL080005" TargetMode="External" /><Relationship Type="http://schemas.openxmlformats.org/officeDocument/2006/relationships/hyperlink" Id="rId255" Target="https://doi.org/10.1037/a0016973" TargetMode="External" /><Relationship Type="http://schemas.openxmlformats.org/officeDocument/2006/relationships/hyperlink" Id="rId148" Target="https://doi.org/10.1111/ele.12897" TargetMode="External" /><Relationship Type="http://schemas.openxmlformats.org/officeDocument/2006/relationships/hyperlink" Id="rId251" Target="https://doi.org/10.1111/j.1365-2427.2011.02613.x" TargetMode="External" /><Relationship Type="http://schemas.openxmlformats.org/officeDocument/2006/relationships/hyperlink" Id="rId180" Target="https://doi.org/10.1139/cjfas-2014-0400" TargetMode="External" /><Relationship Type="http://schemas.openxmlformats.org/officeDocument/2006/relationships/hyperlink" Id="rId253" Target="https://doi.org/10.1186/1471-2105-9-307" TargetMode="External" /><Relationship Type="http://schemas.openxmlformats.org/officeDocument/2006/relationships/hyperlink" Id="rId164" Target="https://doi.org/10.1201/9780367816377-11" TargetMode="External" /><Relationship Type="http://schemas.openxmlformats.org/officeDocument/2006/relationships/hyperlink" Id="rId195" Target="https://doi.org/10.13031/2013.15662" TargetMode="External" /><Relationship Type="http://schemas.openxmlformats.org/officeDocument/2006/relationships/hyperlink" Id="rId160"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3" Target="https://doi.org/10.3133/fs06700" TargetMode="External" /><Relationship Type="http://schemas.openxmlformats.org/officeDocument/2006/relationships/hyperlink" Id="rId234" Target="https://doi.org/10.5194/bg-10-2315-2013" TargetMode="External" /><Relationship Type="http://schemas.openxmlformats.org/officeDocument/2006/relationships/hyperlink" Id="rId178" Target="https://doi.org/IWSS-297445977-5079" TargetMode="External" /><Relationship Type="http://schemas.openxmlformats.org/officeDocument/2006/relationships/hyperlink" Id="rId209" Target="https://doi.org/doi:10.1046/j.1365-2427.1997.d01-539.x" TargetMode="External" /><Relationship Type="http://schemas.openxmlformats.org/officeDocument/2006/relationships/hyperlink" Id="rId186" Target="https://pubs.er.usgs.gov/publication/sir20075282" TargetMode="External" /><Relationship Type="http://schemas.openxmlformats.org/officeDocument/2006/relationships/hyperlink" Id="rId197" Target="https://www.canada.ca/content/dam/hc-sc/documents/programs/consultation-organic-matter-drinking-water/NOM20190129-eng.pdf" TargetMode="External" /><Relationship Type="http://schemas.openxmlformats.org/officeDocument/2006/relationships/hyperlink" Id="rId199" Target="https://www.canada.ca/content/dam/hc-sc/migration/hc-sc/ewh-semt/alt%7B\_%7Dformats/pdf/pubs/water-eau/sum%7B\_%7Dguide-res%7B\_%7Drecom/summary-table-August-15-2019-eng.pdf" TargetMode="External" /><Relationship Type="http://schemas.openxmlformats.org/officeDocument/2006/relationships/hyperlink" Id="rId201" Target="https://www.canada.ca/en/health-canada/services/healthy-living/your-health/environment/drinking-water-chlorination.html" TargetMode="External" /><Relationship Type="http://schemas.openxmlformats.org/officeDocument/2006/relationships/hyperlink" Id="rId176" Target="https://www.crd.bc.ca/project/past-capital-projects-and-initiatives/water-supply-plan" TargetMode="External" /><Relationship Type="http://schemas.openxmlformats.org/officeDocument/2006/relationships/hyperlink" Id="rId169" Target="https://www.crd.bc.ca/service/public-tours/watershed-tours/facts-figures" TargetMode="External" /><Relationship Type="http://schemas.openxmlformats.org/officeDocument/2006/relationships/hyperlink" Id="rId24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3" Target="https://www.healthlinkbc.ca/healthlinkbc-files/drinking-water-chlorination" TargetMode="External" /><Relationship Type="http://schemas.openxmlformats.org/officeDocument/2006/relationships/hyperlink" Id="rId227" Target="https://www.jstor.org/stable/1937326" TargetMode="External" /><Relationship Type="http://schemas.openxmlformats.org/officeDocument/2006/relationships/hyperlink" Id="rId247" Target="https://www.jstor.org/stable/24702986" TargetMode="External" /><Relationship Type="http://schemas.openxmlformats.org/officeDocument/2006/relationships/hyperlink" Id="rId205" Target="https://www.jstor.org/stable/40058211" TargetMode="External" /><Relationship Type="http://schemas.openxmlformats.org/officeDocument/2006/relationships/hyperlink" Id="rId211" Target="https://www.jstor.org/stable/41311011" TargetMode="External" /><Relationship Type="http://schemas.openxmlformats.org/officeDocument/2006/relationships/hyperlink" Id="rId16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2020-08-04T15:58:25Z</dcterms:created>
  <dcterms:modified xsi:type="dcterms:W3CDTF">2020-08-04T15:58:25Z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